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68DCC" w14:textId="77777777" w:rsidR="0046533A" w:rsidRPr="0046533A" w:rsidRDefault="0046533A" w:rsidP="0046533A">
      <w:pPr>
        <w:rPr>
          <w:rFonts w:ascii="Times New Roman" w:hAnsi="Times New Roman" w:cs="Times New Roman"/>
          <w:sz w:val="24"/>
          <w:szCs w:val="24"/>
        </w:rPr>
      </w:pPr>
    </w:p>
    <w:p w14:paraId="0947F97C" w14:textId="77777777" w:rsidR="0046533A" w:rsidRDefault="0046533A" w:rsidP="0046533A">
      <w:pPr>
        <w:pStyle w:val="Nagwek2"/>
        <w:rPr>
          <w:b/>
          <w:bCs/>
        </w:rPr>
      </w:pPr>
    </w:p>
    <w:p w14:paraId="4B6367EC" w14:textId="77777777" w:rsidR="0046533A" w:rsidRDefault="0046533A" w:rsidP="0046533A">
      <w:pPr>
        <w:pStyle w:val="Nagwek2"/>
        <w:rPr>
          <w:b/>
          <w:bCs/>
        </w:rPr>
      </w:pPr>
    </w:p>
    <w:p w14:paraId="718AFCA7" w14:textId="293AAF4A" w:rsidR="00BD5E2D" w:rsidRPr="0046533A" w:rsidRDefault="00BD5E2D" w:rsidP="0046533A">
      <w:pPr>
        <w:pStyle w:val="Nagwek2"/>
        <w:rPr>
          <w:b/>
          <w:bCs/>
        </w:rPr>
      </w:pPr>
      <w:r w:rsidRPr="0046533A">
        <w:rPr>
          <w:b/>
          <w:bCs/>
        </w:rPr>
        <w:t xml:space="preserve">AKCJE </w:t>
      </w:r>
    </w:p>
    <w:p w14:paraId="74A79ADF" w14:textId="5CED5AAA" w:rsidR="0046533A" w:rsidRDefault="005A7D49" w:rsidP="0046533A">
      <w:pPr>
        <w:rPr>
          <w:rFonts w:ascii="Times New Roman" w:hAnsi="Times New Roman" w:cs="Times New Roman"/>
          <w:sz w:val="24"/>
          <w:szCs w:val="24"/>
        </w:rPr>
      </w:pPr>
      <w:r w:rsidRPr="0046533A">
        <w:rPr>
          <w:rFonts w:ascii="Times New Roman" w:hAnsi="Times New Roman" w:cs="Times New Roman"/>
          <w:sz w:val="24"/>
          <w:szCs w:val="24"/>
        </w:rPr>
        <w:t>Do niedzieli 21 lipca, rynki żyły w przekonaniu (słowo „przekonanie” jest na miejscu</w:t>
      </w:r>
      <w:r w:rsidR="00717F34" w:rsidRPr="0046533A">
        <w:rPr>
          <w:rFonts w:ascii="Times New Roman" w:hAnsi="Times New Roman" w:cs="Times New Roman"/>
          <w:sz w:val="24"/>
          <w:szCs w:val="24"/>
        </w:rPr>
        <w:t>,</w:t>
      </w:r>
      <w:r w:rsidRPr="0046533A">
        <w:rPr>
          <w:rFonts w:ascii="Times New Roman" w:hAnsi="Times New Roman" w:cs="Times New Roman"/>
          <w:sz w:val="24"/>
          <w:szCs w:val="24"/>
        </w:rPr>
        <w:t xml:space="preserve"> jeśli zmierzymy prawdopodobieństwo notowaniami u bukmacheró</w:t>
      </w:r>
      <w:r w:rsidR="0046533A">
        <w:rPr>
          <w:rFonts w:ascii="Times New Roman" w:hAnsi="Times New Roman" w:cs="Times New Roman"/>
          <w:sz w:val="24"/>
          <w:szCs w:val="24"/>
        </w:rPr>
        <w:t>w</w:t>
      </w:r>
      <w:r w:rsidRPr="0046533A">
        <w:rPr>
          <w:rFonts w:ascii="Times New Roman" w:hAnsi="Times New Roman" w:cs="Times New Roman"/>
          <w:sz w:val="24"/>
          <w:szCs w:val="24"/>
        </w:rPr>
        <w:t xml:space="preserve">), że Donald </w:t>
      </w:r>
      <w:proofErr w:type="spellStart"/>
      <w:r w:rsidRPr="0046533A">
        <w:rPr>
          <w:rFonts w:ascii="Times New Roman" w:hAnsi="Times New Roman" w:cs="Times New Roman"/>
          <w:sz w:val="24"/>
          <w:szCs w:val="24"/>
        </w:rPr>
        <w:t>Trump</w:t>
      </w:r>
      <w:proofErr w:type="spellEnd"/>
      <w:r w:rsidRPr="0046533A">
        <w:rPr>
          <w:rFonts w:ascii="Times New Roman" w:hAnsi="Times New Roman" w:cs="Times New Roman"/>
          <w:sz w:val="24"/>
          <w:szCs w:val="24"/>
        </w:rPr>
        <w:t xml:space="preserve"> wygra wybory. Interpretowano już wpływ jego pierwszych decyzji na różne klasy aktywów. A tu proszę jaka niespodzianka! Prezydent USA Joe Biden ogłosił, że rezygnuje z ubiegania się o reelekcję. Ta decyzja </w:t>
      </w:r>
      <w:r w:rsidR="0046533A">
        <w:rPr>
          <w:rFonts w:ascii="Times New Roman" w:hAnsi="Times New Roman" w:cs="Times New Roman"/>
          <w:sz w:val="24"/>
          <w:szCs w:val="24"/>
        </w:rPr>
        <w:t>pojawiła się</w:t>
      </w:r>
      <w:r w:rsidRPr="0046533A">
        <w:rPr>
          <w:rFonts w:ascii="Times New Roman" w:hAnsi="Times New Roman" w:cs="Times New Roman"/>
          <w:sz w:val="24"/>
          <w:szCs w:val="24"/>
        </w:rPr>
        <w:t xml:space="preserve"> po tym, jak Biden zauważył</w:t>
      </w:r>
      <w:r w:rsidR="00717F34" w:rsidRPr="0046533A">
        <w:rPr>
          <w:rFonts w:ascii="Times New Roman" w:hAnsi="Times New Roman" w:cs="Times New Roman"/>
          <w:sz w:val="24"/>
          <w:szCs w:val="24"/>
        </w:rPr>
        <w:t xml:space="preserve"> w końcu</w:t>
      </w:r>
      <w:r w:rsidRPr="0046533A">
        <w:rPr>
          <w:rFonts w:ascii="Times New Roman" w:hAnsi="Times New Roman" w:cs="Times New Roman"/>
          <w:sz w:val="24"/>
          <w:szCs w:val="24"/>
        </w:rPr>
        <w:t xml:space="preserve"> spadek poparcia</w:t>
      </w:r>
      <w:r w:rsidR="00717F34" w:rsidRPr="0046533A">
        <w:rPr>
          <w:rFonts w:ascii="Times New Roman" w:hAnsi="Times New Roman" w:cs="Times New Roman"/>
          <w:sz w:val="24"/>
          <w:szCs w:val="24"/>
        </w:rPr>
        <w:t xml:space="preserve"> nawet </w:t>
      </w:r>
      <w:r w:rsidRPr="0046533A">
        <w:rPr>
          <w:rFonts w:ascii="Times New Roman" w:hAnsi="Times New Roman" w:cs="Times New Roman"/>
          <w:sz w:val="24"/>
          <w:szCs w:val="24"/>
        </w:rPr>
        <w:t xml:space="preserve"> </w:t>
      </w:r>
      <w:r w:rsidR="0046533A">
        <w:rPr>
          <w:rFonts w:ascii="Times New Roman" w:hAnsi="Times New Roman" w:cs="Times New Roman"/>
          <w:sz w:val="24"/>
          <w:szCs w:val="24"/>
        </w:rPr>
        <w:t>w</w:t>
      </w:r>
      <w:r w:rsidRPr="0046533A">
        <w:rPr>
          <w:rFonts w:ascii="Times New Roman" w:hAnsi="Times New Roman" w:cs="Times New Roman"/>
          <w:sz w:val="24"/>
          <w:szCs w:val="24"/>
        </w:rPr>
        <w:t xml:space="preserve">śród swoich kolegów z Partii Demokratycznej. Wyraził też pełne poparcie dla swojej zastępczyni, </w:t>
      </w:r>
      <w:proofErr w:type="spellStart"/>
      <w:r w:rsidRPr="0046533A">
        <w:rPr>
          <w:rFonts w:ascii="Times New Roman" w:hAnsi="Times New Roman" w:cs="Times New Roman"/>
          <w:sz w:val="24"/>
          <w:szCs w:val="24"/>
        </w:rPr>
        <w:t>Kamali</w:t>
      </w:r>
      <w:proofErr w:type="spellEnd"/>
      <w:r w:rsidRPr="0046533A">
        <w:rPr>
          <w:rFonts w:ascii="Times New Roman" w:hAnsi="Times New Roman" w:cs="Times New Roman"/>
          <w:sz w:val="24"/>
          <w:szCs w:val="24"/>
        </w:rPr>
        <w:t xml:space="preserve"> Harris, jako kandydatki na fotel </w:t>
      </w:r>
      <w:proofErr w:type="spellStart"/>
      <w:r w:rsidRPr="0046533A">
        <w:rPr>
          <w:rFonts w:ascii="Times New Roman" w:hAnsi="Times New Roman" w:cs="Times New Roman"/>
          <w:sz w:val="24"/>
          <w:szCs w:val="24"/>
        </w:rPr>
        <w:t>prezydenta</w:t>
      </w:r>
      <w:r w:rsidR="00730F57" w:rsidRPr="0046533A">
        <w:rPr>
          <w:rFonts w:ascii="Times New Roman" w:hAnsi="Times New Roman" w:cs="Times New Roman"/>
          <w:sz w:val="24"/>
          <w:szCs w:val="24"/>
        </w:rPr>
        <w:t>.</w:t>
      </w:r>
      <w:r w:rsidRPr="0046533A">
        <w:rPr>
          <w:rFonts w:ascii="Times New Roman" w:hAnsi="Times New Roman" w:cs="Times New Roman"/>
          <w:sz w:val="24"/>
          <w:szCs w:val="24"/>
        </w:rPr>
        <w:t>W</w:t>
      </w:r>
      <w:proofErr w:type="spellEnd"/>
      <w:r w:rsidRPr="0046533A">
        <w:rPr>
          <w:rFonts w:ascii="Times New Roman" w:hAnsi="Times New Roman" w:cs="Times New Roman"/>
          <w:sz w:val="24"/>
          <w:szCs w:val="24"/>
        </w:rPr>
        <w:t xml:space="preserve"> obecnym roku, obserwując wiele miejsc na świecie, można było przekonać się</w:t>
      </w:r>
      <w:r w:rsidR="00BF3B4B" w:rsidRPr="0046533A">
        <w:rPr>
          <w:rFonts w:ascii="Times New Roman" w:hAnsi="Times New Roman" w:cs="Times New Roman"/>
          <w:sz w:val="24"/>
          <w:szCs w:val="24"/>
        </w:rPr>
        <w:t>, że rynki najbardziej nie lubią „niepewności”. Jest to bardzo zasadne i logiczne. Zarządzający globalnymi pieniędzmi wycofują</w:t>
      </w:r>
      <w:r w:rsidR="00730F57" w:rsidRPr="0046533A">
        <w:rPr>
          <w:rFonts w:ascii="Times New Roman" w:hAnsi="Times New Roman" w:cs="Times New Roman"/>
          <w:sz w:val="24"/>
          <w:szCs w:val="24"/>
        </w:rPr>
        <w:t xml:space="preserve"> pieniądze</w:t>
      </w:r>
      <w:r w:rsidR="00BF3B4B" w:rsidRPr="0046533A">
        <w:rPr>
          <w:rFonts w:ascii="Times New Roman" w:hAnsi="Times New Roman" w:cs="Times New Roman"/>
          <w:sz w:val="24"/>
          <w:szCs w:val="24"/>
        </w:rPr>
        <w:t xml:space="preserve"> z kraju</w:t>
      </w:r>
      <w:r w:rsidR="0046533A">
        <w:rPr>
          <w:rFonts w:ascii="Times New Roman" w:hAnsi="Times New Roman" w:cs="Times New Roman"/>
          <w:sz w:val="24"/>
          <w:szCs w:val="24"/>
        </w:rPr>
        <w:t>,</w:t>
      </w:r>
      <w:r w:rsidR="00BF3B4B" w:rsidRPr="0046533A">
        <w:rPr>
          <w:rFonts w:ascii="Times New Roman" w:hAnsi="Times New Roman" w:cs="Times New Roman"/>
          <w:sz w:val="24"/>
          <w:szCs w:val="24"/>
        </w:rPr>
        <w:t xml:space="preserve"> w którym odbywają się wybory, do czasu rozstrzygnięcia</w:t>
      </w:r>
      <w:r w:rsidR="00730F57" w:rsidRPr="0046533A">
        <w:rPr>
          <w:rFonts w:ascii="Times New Roman" w:hAnsi="Times New Roman" w:cs="Times New Roman"/>
          <w:sz w:val="24"/>
          <w:szCs w:val="24"/>
        </w:rPr>
        <w:t xml:space="preserve"> tychże</w:t>
      </w:r>
      <w:r w:rsidR="00BF3B4B" w:rsidRPr="0046533A">
        <w:rPr>
          <w:rFonts w:ascii="Times New Roman" w:hAnsi="Times New Roman" w:cs="Times New Roman"/>
          <w:sz w:val="24"/>
          <w:szCs w:val="24"/>
        </w:rPr>
        <w:t xml:space="preserve">. </w:t>
      </w:r>
      <w:r w:rsidR="0046533A">
        <w:rPr>
          <w:rFonts w:ascii="Times New Roman" w:hAnsi="Times New Roman" w:cs="Times New Roman"/>
          <w:sz w:val="24"/>
          <w:szCs w:val="24"/>
        </w:rPr>
        <w:t>N</w:t>
      </w:r>
      <w:r w:rsidR="00BF3B4B" w:rsidRPr="0046533A">
        <w:rPr>
          <w:rFonts w:ascii="Times New Roman" w:hAnsi="Times New Roman" w:cs="Times New Roman"/>
          <w:sz w:val="24"/>
          <w:szCs w:val="24"/>
        </w:rPr>
        <w:t xml:space="preserve">ie zawsze dotyczy to tylko rynków małych czy płytkich. Tak było w Turcji, tak jest we Francji. </w:t>
      </w:r>
      <w:proofErr w:type="spellStart"/>
      <w:r w:rsidR="00BF3B4B" w:rsidRPr="0046533A">
        <w:rPr>
          <w:rFonts w:ascii="Times New Roman" w:hAnsi="Times New Roman" w:cs="Times New Roman"/>
          <w:sz w:val="24"/>
          <w:szCs w:val="24"/>
        </w:rPr>
        <w:t>Erdogan</w:t>
      </w:r>
      <w:proofErr w:type="spellEnd"/>
      <w:r w:rsidR="0046533A">
        <w:rPr>
          <w:rFonts w:ascii="Times New Roman" w:hAnsi="Times New Roman" w:cs="Times New Roman"/>
          <w:sz w:val="24"/>
          <w:szCs w:val="24"/>
        </w:rPr>
        <w:t xml:space="preserve"> – obecny prezydent Turcji</w:t>
      </w:r>
      <w:r w:rsidR="00BF3B4B" w:rsidRPr="0046533A">
        <w:rPr>
          <w:rFonts w:ascii="Times New Roman" w:hAnsi="Times New Roman" w:cs="Times New Roman"/>
          <w:sz w:val="24"/>
          <w:szCs w:val="24"/>
        </w:rPr>
        <w:t>, to nie był wymarzony wybór dla rynku akcji, a jednak po wyborach, te ochoczo wróciły do zawieszonych na czas kampanii wzrostów.</w:t>
      </w:r>
      <w:r w:rsidR="004541DF" w:rsidRPr="0046533A">
        <w:rPr>
          <w:rFonts w:ascii="Times New Roman" w:hAnsi="Times New Roman" w:cs="Times New Roman"/>
          <w:sz w:val="24"/>
          <w:szCs w:val="24"/>
        </w:rPr>
        <w:t xml:space="preserve"> Paradoksalnie więc, powrót demokratów do gry o fotel prezydenta, wcale nie musi dobrze wróżyć rynkom akcji.</w:t>
      </w:r>
      <w:r w:rsidR="00915A2B" w:rsidRPr="0046533A">
        <w:rPr>
          <w:rFonts w:ascii="Times New Roman" w:hAnsi="Times New Roman" w:cs="Times New Roman"/>
          <w:sz w:val="24"/>
          <w:szCs w:val="24"/>
        </w:rPr>
        <w:t xml:space="preserve"> </w:t>
      </w:r>
    </w:p>
    <w:p w14:paraId="70FD999F" w14:textId="77777777" w:rsidR="0046533A" w:rsidRDefault="00915A2B" w:rsidP="0046533A">
      <w:pPr>
        <w:rPr>
          <w:rFonts w:ascii="Times New Roman" w:hAnsi="Times New Roman" w:cs="Times New Roman"/>
          <w:sz w:val="24"/>
          <w:szCs w:val="24"/>
        </w:rPr>
      </w:pPr>
      <w:r w:rsidRPr="0046533A">
        <w:rPr>
          <w:rFonts w:ascii="Times New Roman" w:hAnsi="Times New Roman" w:cs="Times New Roman"/>
          <w:sz w:val="24"/>
          <w:szCs w:val="24"/>
        </w:rPr>
        <w:t>Notowania indeksu S&amp;P500 zbliżają się do poziomu oporu w okolicy 5500 punktów, który to opór wyznacz</w:t>
      </w:r>
      <w:r w:rsidR="008B246E" w:rsidRPr="0046533A">
        <w:rPr>
          <w:rFonts w:ascii="Times New Roman" w:hAnsi="Times New Roman" w:cs="Times New Roman"/>
          <w:sz w:val="24"/>
          <w:szCs w:val="24"/>
        </w:rPr>
        <w:t>ony został</w:t>
      </w:r>
      <w:r w:rsidRPr="0046533A">
        <w:rPr>
          <w:rFonts w:ascii="Times New Roman" w:hAnsi="Times New Roman" w:cs="Times New Roman"/>
          <w:sz w:val="24"/>
          <w:szCs w:val="24"/>
        </w:rPr>
        <w:t xml:space="preserve"> </w:t>
      </w:r>
      <w:r w:rsidR="008B246E" w:rsidRPr="0046533A">
        <w:rPr>
          <w:rFonts w:ascii="Times New Roman" w:hAnsi="Times New Roman" w:cs="Times New Roman"/>
          <w:sz w:val="24"/>
          <w:szCs w:val="24"/>
        </w:rPr>
        <w:t>trwającą od połowy lipca korektą spadkową po spektakularnych wzrostach trwających od października</w:t>
      </w:r>
      <w:r w:rsidRPr="0046533A">
        <w:rPr>
          <w:rFonts w:ascii="Times New Roman" w:hAnsi="Times New Roman" w:cs="Times New Roman"/>
          <w:sz w:val="24"/>
          <w:szCs w:val="24"/>
        </w:rPr>
        <w:t xml:space="preserve">. Wydaje się, że wynik testu tego poziomu może dać odpowiedź na pytanie czy spadki będą kontynuowane, czy raczej indeks ten wróci do trendu wzrostowego. Biorąc pod uwagę okres roku i statystykę z tym związaną, to wydaje się, że bardziej realna jest obecnie jednak kontynuacja spadków. </w:t>
      </w:r>
      <w:r w:rsidR="008B246E" w:rsidRPr="0046533A">
        <w:rPr>
          <w:rFonts w:ascii="Times New Roman" w:hAnsi="Times New Roman" w:cs="Times New Roman"/>
          <w:sz w:val="24"/>
          <w:szCs w:val="24"/>
        </w:rPr>
        <w:t>Z drugiej strony</w:t>
      </w:r>
      <w:r w:rsidR="00E1508E" w:rsidRPr="0046533A">
        <w:rPr>
          <w:rFonts w:ascii="Times New Roman" w:hAnsi="Times New Roman" w:cs="Times New Roman"/>
          <w:sz w:val="24"/>
          <w:szCs w:val="24"/>
        </w:rPr>
        <w:t>,</w:t>
      </w:r>
      <w:r w:rsidR="008B246E" w:rsidRPr="0046533A">
        <w:rPr>
          <w:rFonts w:ascii="Times New Roman" w:hAnsi="Times New Roman" w:cs="Times New Roman"/>
          <w:sz w:val="24"/>
          <w:szCs w:val="24"/>
        </w:rPr>
        <w:t xml:space="preserve"> w myśl zasady, </w:t>
      </w:r>
      <w:r w:rsidR="00E1508E" w:rsidRPr="0046533A">
        <w:rPr>
          <w:rFonts w:ascii="Times New Roman" w:hAnsi="Times New Roman" w:cs="Times New Roman"/>
          <w:sz w:val="24"/>
          <w:szCs w:val="24"/>
        </w:rPr>
        <w:t>ż</w:t>
      </w:r>
      <w:r w:rsidR="008B246E" w:rsidRPr="0046533A">
        <w:rPr>
          <w:rFonts w:ascii="Times New Roman" w:hAnsi="Times New Roman" w:cs="Times New Roman"/>
          <w:sz w:val="24"/>
          <w:szCs w:val="24"/>
        </w:rPr>
        <w:t>e na jedną statystykę, zawsze znajdzie się inna</w:t>
      </w:r>
      <w:r w:rsidR="0046533A">
        <w:rPr>
          <w:rFonts w:ascii="Times New Roman" w:hAnsi="Times New Roman" w:cs="Times New Roman"/>
          <w:sz w:val="24"/>
          <w:szCs w:val="24"/>
        </w:rPr>
        <w:t xml:space="preserve">. </w:t>
      </w:r>
      <w:r w:rsidR="008B246E" w:rsidRPr="0046533A">
        <w:rPr>
          <w:rFonts w:ascii="Times New Roman" w:hAnsi="Times New Roman" w:cs="Times New Roman"/>
          <w:sz w:val="24"/>
          <w:szCs w:val="24"/>
        </w:rPr>
        <w:t>W roku wyborczym na przestrzeni setek lat, prawie zawsze (tylko JEDEN raz było inaczej)</w:t>
      </w:r>
      <w:r w:rsidR="004971BF" w:rsidRPr="0046533A">
        <w:rPr>
          <w:rFonts w:ascii="Times New Roman" w:hAnsi="Times New Roman" w:cs="Times New Roman"/>
          <w:sz w:val="24"/>
          <w:szCs w:val="24"/>
        </w:rPr>
        <w:t xml:space="preserve"> rynki akcji rosły, osiąg</w:t>
      </w:r>
      <w:r w:rsidR="00E1508E" w:rsidRPr="0046533A">
        <w:rPr>
          <w:rFonts w:ascii="Times New Roman" w:hAnsi="Times New Roman" w:cs="Times New Roman"/>
          <w:sz w:val="24"/>
          <w:szCs w:val="24"/>
        </w:rPr>
        <w:t>ając maksima cyklu w okolicach wyborów.</w:t>
      </w:r>
    </w:p>
    <w:p w14:paraId="113B2CD7" w14:textId="48C2A4DD" w:rsidR="00BD5E2D" w:rsidRPr="0046533A" w:rsidRDefault="006C6C68" w:rsidP="0046533A">
      <w:pPr>
        <w:rPr>
          <w:rFonts w:ascii="Times New Roman" w:hAnsi="Times New Roman" w:cs="Times New Roman"/>
          <w:sz w:val="24"/>
          <w:szCs w:val="24"/>
        </w:rPr>
      </w:pPr>
      <w:r w:rsidRPr="0046533A">
        <w:rPr>
          <w:rFonts w:ascii="Times New Roman" w:hAnsi="Times New Roman" w:cs="Times New Roman"/>
          <w:sz w:val="24"/>
          <w:szCs w:val="24"/>
        </w:rPr>
        <w:t xml:space="preserve">Jeśli rynek wróci do wzrostów, to liderem może być </w:t>
      </w:r>
      <w:proofErr w:type="spellStart"/>
      <w:r w:rsidRPr="0046533A">
        <w:rPr>
          <w:rFonts w:ascii="Times New Roman" w:hAnsi="Times New Roman" w:cs="Times New Roman"/>
          <w:sz w:val="24"/>
          <w:szCs w:val="24"/>
        </w:rPr>
        <w:t>Nas</w:t>
      </w:r>
      <w:r w:rsidR="00F76C82" w:rsidRPr="0046533A">
        <w:rPr>
          <w:rFonts w:ascii="Times New Roman" w:hAnsi="Times New Roman" w:cs="Times New Roman"/>
          <w:sz w:val="24"/>
          <w:szCs w:val="24"/>
        </w:rPr>
        <w:t>daq</w:t>
      </w:r>
      <w:proofErr w:type="spellEnd"/>
      <w:r w:rsidR="00F76C82" w:rsidRPr="0046533A">
        <w:rPr>
          <w:rFonts w:ascii="Times New Roman" w:hAnsi="Times New Roman" w:cs="Times New Roman"/>
          <w:sz w:val="24"/>
          <w:szCs w:val="24"/>
        </w:rPr>
        <w:t xml:space="preserve"> 100</w:t>
      </w:r>
      <w:r w:rsidRPr="0046533A">
        <w:rPr>
          <w:rFonts w:ascii="Times New Roman" w:hAnsi="Times New Roman" w:cs="Times New Roman"/>
          <w:sz w:val="24"/>
          <w:szCs w:val="24"/>
        </w:rPr>
        <w:t>.</w:t>
      </w:r>
      <w:r w:rsidR="00F76C82" w:rsidRPr="0046533A">
        <w:rPr>
          <w:rFonts w:ascii="Times New Roman" w:hAnsi="Times New Roman" w:cs="Times New Roman"/>
          <w:sz w:val="24"/>
          <w:szCs w:val="24"/>
        </w:rPr>
        <w:t xml:space="preserve"> </w:t>
      </w:r>
      <w:r w:rsidRPr="0046533A">
        <w:rPr>
          <w:rFonts w:ascii="Times New Roman" w:hAnsi="Times New Roman" w:cs="Times New Roman"/>
          <w:sz w:val="24"/>
          <w:szCs w:val="24"/>
        </w:rPr>
        <w:t>W</w:t>
      </w:r>
      <w:r w:rsidR="00F76C82" w:rsidRPr="0046533A">
        <w:rPr>
          <w:rFonts w:ascii="Times New Roman" w:hAnsi="Times New Roman" w:cs="Times New Roman"/>
          <w:sz w:val="24"/>
          <w:szCs w:val="24"/>
        </w:rPr>
        <w:t xml:space="preserve"> ciągu najbliższych dni swoje wyniki pokażą 4 spółki z tzw. “Siedmiu Wspaniałych": Apple, Amazon, Meta oraz Microsoft</w:t>
      </w:r>
      <w:r w:rsidRPr="0046533A">
        <w:rPr>
          <w:rFonts w:ascii="Times New Roman" w:hAnsi="Times New Roman" w:cs="Times New Roman"/>
          <w:sz w:val="24"/>
          <w:szCs w:val="24"/>
        </w:rPr>
        <w:t xml:space="preserve"> i to ustawi kierunek na pierwszą połowę sier</w:t>
      </w:r>
      <w:r w:rsidR="00D6330F" w:rsidRPr="0046533A">
        <w:rPr>
          <w:rFonts w:ascii="Times New Roman" w:hAnsi="Times New Roman" w:cs="Times New Roman"/>
          <w:sz w:val="24"/>
          <w:szCs w:val="24"/>
        </w:rPr>
        <w:t>p</w:t>
      </w:r>
      <w:r w:rsidRPr="0046533A">
        <w:rPr>
          <w:rFonts w:ascii="Times New Roman" w:hAnsi="Times New Roman" w:cs="Times New Roman"/>
          <w:sz w:val="24"/>
          <w:szCs w:val="24"/>
        </w:rPr>
        <w:t xml:space="preserve">nia. </w:t>
      </w:r>
      <w:r w:rsidR="00F76C82" w:rsidRPr="0046533A">
        <w:rPr>
          <w:rFonts w:ascii="Times New Roman" w:hAnsi="Times New Roman" w:cs="Times New Roman"/>
          <w:sz w:val="24"/>
          <w:szCs w:val="24"/>
        </w:rPr>
        <w:t xml:space="preserve">Dotychczasowe wyniki ze strony pozostałych spółek technologicznych były raczej przyjęte negatywnie przez inwestorów. </w:t>
      </w:r>
      <w:proofErr w:type="spellStart"/>
      <w:r w:rsidR="00F76C82" w:rsidRPr="0046533A">
        <w:rPr>
          <w:rFonts w:ascii="Times New Roman" w:hAnsi="Times New Roman" w:cs="Times New Roman"/>
          <w:sz w:val="24"/>
          <w:szCs w:val="24"/>
        </w:rPr>
        <w:t>Alphabet</w:t>
      </w:r>
      <w:proofErr w:type="spellEnd"/>
      <w:r w:rsidR="00F76C82" w:rsidRPr="0046533A">
        <w:rPr>
          <w:rFonts w:ascii="Times New Roman" w:hAnsi="Times New Roman" w:cs="Times New Roman"/>
          <w:sz w:val="24"/>
          <w:szCs w:val="24"/>
        </w:rPr>
        <w:t xml:space="preserve"> mimo pokazania solidnych wyników stracił po obawach dotyczących segmentu reklamowego, a Tesla mocno rozczarowała inwestorów swoimi danymi finansowymi i potwierdzeniem przesunięcia daty zaprezentowania obecnie jednego z najciekawszych projektów spółki: </w:t>
      </w:r>
      <w:proofErr w:type="spellStart"/>
      <w:r w:rsidR="00F76C82" w:rsidRPr="0046533A">
        <w:rPr>
          <w:rFonts w:ascii="Times New Roman" w:hAnsi="Times New Roman" w:cs="Times New Roman"/>
          <w:sz w:val="24"/>
          <w:szCs w:val="24"/>
        </w:rPr>
        <w:t>Robotaxi</w:t>
      </w:r>
      <w:proofErr w:type="spellEnd"/>
      <w:r w:rsidR="00F76C82" w:rsidRPr="0046533A">
        <w:rPr>
          <w:rFonts w:ascii="Times New Roman" w:hAnsi="Times New Roman" w:cs="Times New Roman"/>
          <w:sz w:val="24"/>
          <w:szCs w:val="24"/>
        </w:rPr>
        <w:t>.</w:t>
      </w:r>
      <w:r w:rsidR="0046533A">
        <w:rPr>
          <w:rFonts w:ascii="Times New Roman" w:hAnsi="Times New Roman" w:cs="Times New Roman"/>
          <w:sz w:val="24"/>
          <w:szCs w:val="24"/>
        </w:rPr>
        <w:t xml:space="preserve"> </w:t>
      </w:r>
      <w:r w:rsidR="00657AE3" w:rsidRPr="0046533A">
        <w:rPr>
          <w:rFonts w:ascii="Times New Roman" w:hAnsi="Times New Roman" w:cs="Times New Roman"/>
          <w:sz w:val="24"/>
          <w:szCs w:val="24"/>
        </w:rPr>
        <w:t xml:space="preserve">Polskie akcje </w:t>
      </w:r>
      <w:r w:rsidR="00717F34" w:rsidRPr="0046533A">
        <w:rPr>
          <w:rFonts w:ascii="Times New Roman" w:hAnsi="Times New Roman" w:cs="Times New Roman"/>
          <w:sz w:val="24"/>
          <w:szCs w:val="24"/>
        </w:rPr>
        <w:t>wskaźnikowo (p/</w:t>
      </w:r>
      <w:proofErr w:type="spellStart"/>
      <w:r w:rsidR="00717F34" w:rsidRPr="0046533A">
        <w:rPr>
          <w:rFonts w:ascii="Times New Roman" w:hAnsi="Times New Roman" w:cs="Times New Roman"/>
          <w:sz w:val="24"/>
          <w:szCs w:val="24"/>
        </w:rPr>
        <w:t>e;p</w:t>
      </w:r>
      <w:proofErr w:type="spellEnd"/>
      <w:r w:rsidR="00717F34" w:rsidRPr="0046533A">
        <w:rPr>
          <w:rFonts w:ascii="Times New Roman" w:hAnsi="Times New Roman" w:cs="Times New Roman"/>
          <w:sz w:val="24"/>
          <w:szCs w:val="24"/>
        </w:rPr>
        <w:t>/</w:t>
      </w:r>
      <w:proofErr w:type="spellStart"/>
      <w:r w:rsidR="00717F34" w:rsidRPr="0046533A">
        <w:rPr>
          <w:rFonts w:ascii="Times New Roman" w:hAnsi="Times New Roman" w:cs="Times New Roman"/>
          <w:sz w:val="24"/>
          <w:szCs w:val="24"/>
        </w:rPr>
        <w:t>bv</w:t>
      </w:r>
      <w:proofErr w:type="spellEnd"/>
      <w:r w:rsidR="00717F34" w:rsidRPr="0046533A">
        <w:rPr>
          <w:rFonts w:ascii="Times New Roman" w:hAnsi="Times New Roman" w:cs="Times New Roman"/>
          <w:sz w:val="24"/>
          <w:szCs w:val="24"/>
        </w:rPr>
        <w:t xml:space="preserve">; ROE) </w:t>
      </w:r>
      <w:r w:rsidR="00657AE3" w:rsidRPr="0046533A">
        <w:rPr>
          <w:rFonts w:ascii="Times New Roman" w:hAnsi="Times New Roman" w:cs="Times New Roman"/>
          <w:sz w:val="24"/>
          <w:szCs w:val="24"/>
        </w:rPr>
        <w:t>wydają się coraz bardziej atrakcyjne</w:t>
      </w:r>
      <w:r w:rsidR="00FD20C3" w:rsidRPr="0046533A">
        <w:rPr>
          <w:rFonts w:ascii="Times New Roman" w:hAnsi="Times New Roman" w:cs="Times New Roman"/>
          <w:sz w:val="24"/>
          <w:szCs w:val="24"/>
        </w:rPr>
        <w:t xml:space="preserve"> na tle akcji amerykańskich.</w:t>
      </w:r>
    </w:p>
    <w:p w14:paraId="2095CCB7" w14:textId="77777777" w:rsidR="00AC693B" w:rsidRPr="0046533A" w:rsidRDefault="00AC693B" w:rsidP="0046533A">
      <w:pPr>
        <w:pStyle w:val="Nagwek2"/>
        <w:rPr>
          <w:b/>
          <w:bCs/>
        </w:rPr>
      </w:pPr>
      <w:r w:rsidRPr="0046533A">
        <w:rPr>
          <w:b/>
          <w:bCs/>
        </w:rPr>
        <w:t>OBLIGACJE</w:t>
      </w:r>
    </w:p>
    <w:p w14:paraId="0807F06F" w14:textId="0B2F8487" w:rsidR="00713324" w:rsidRPr="0046533A" w:rsidRDefault="00A13814" w:rsidP="0046533A">
      <w:pPr>
        <w:rPr>
          <w:rFonts w:ascii="Times New Roman" w:hAnsi="Times New Roman" w:cs="Times New Roman"/>
          <w:sz w:val="24"/>
          <w:szCs w:val="24"/>
        </w:rPr>
      </w:pPr>
      <w:r w:rsidRPr="0046533A">
        <w:rPr>
          <w:rFonts w:ascii="Times New Roman" w:hAnsi="Times New Roman" w:cs="Times New Roman"/>
          <w:sz w:val="24"/>
          <w:szCs w:val="24"/>
        </w:rPr>
        <w:t xml:space="preserve">Na </w:t>
      </w:r>
      <w:r w:rsidR="00713324" w:rsidRPr="0046533A">
        <w:rPr>
          <w:rFonts w:ascii="Times New Roman" w:hAnsi="Times New Roman" w:cs="Times New Roman"/>
          <w:sz w:val="24"/>
          <w:szCs w:val="24"/>
        </w:rPr>
        <w:t xml:space="preserve">kończącym </w:t>
      </w:r>
      <w:r w:rsidRPr="0046533A">
        <w:rPr>
          <w:rFonts w:ascii="Times New Roman" w:hAnsi="Times New Roman" w:cs="Times New Roman"/>
          <w:sz w:val="24"/>
          <w:szCs w:val="24"/>
        </w:rPr>
        <w:t>lip</w:t>
      </w:r>
      <w:r w:rsidR="00713324" w:rsidRPr="0046533A">
        <w:rPr>
          <w:rFonts w:ascii="Times New Roman" w:hAnsi="Times New Roman" w:cs="Times New Roman"/>
          <w:sz w:val="24"/>
          <w:szCs w:val="24"/>
        </w:rPr>
        <w:t>iec</w:t>
      </w:r>
      <w:r w:rsidRPr="0046533A">
        <w:rPr>
          <w:rFonts w:ascii="Times New Roman" w:hAnsi="Times New Roman" w:cs="Times New Roman"/>
          <w:sz w:val="24"/>
          <w:szCs w:val="24"/>
        </w:rPr>
        <w:t xml:space="preserve"> posiedzeniu FOMC nie </w:t>
      </w:r>
      <w:r w:rsidR="009716E4" w:rsidRPr="0046533A">
        <w:rPr>
          <w:rFonts w:ascii="Times New Roman" w:hAnsi="Times New Roman" w:cs="Times New Roman"/>
          <w:sz w:val="24"/>
          <w:szCs w:val="24"/>
        </w:rPr>
        <w:t>doszło do</w:t>
      </w:r>
      <w:r w:rsidRPr="0046533A">
        <w:rPr>
          <w:rFonts w:ascii="Times New Roman" w:hAnsi="Times New Roman" w:cs="Times New Roman"/>
          <w:sz w:val="24"/>
          <w:szCs w:val="24"/>
        </w:rPr>
        <w:t xml:space="preserve"> zmian parametrów polityki monetarnej. Stopa procentowa </w:t>
      </w:r>
      <w:r w:rsidR="009716E4" w:rsidRPr="0046533A">
        <w:rPr>
          <w:rFonts w:ascii="Times New Roman" w:hAnsi="Times New Roman" w:cs="Times New Roman"/>
          <w:sz w:val="24"/>
          <w:szCs w:val="24"/>
        </w:rPr>
        <w:t>w USA pozostała</w:t>
      </w:r>
      <w:r w:rsidRPr="0046533A">
        <w:rPr>
          <w:rFonts w:ascii="Times New Roman" w:hAnsi="Times New Roman" w:cs="Times New Roman"/>
          <w:sz w:val="24"/>
          <w:szCs w:val="24"/>
        </w:rPr>
        <w:t xml:space="preserve"> na niezmienionym poziomie 5,25-5,5 proc. Uwaga inwestorów b</w:t>
      </w:r>
      <w:r w:rsidR="009716E4" w:rsidRPr="0046533A">
        <w:rPr>
          <w:rFonts w:ascii="Times New Roman" w:hAnsi="Times New Roman" w:cs="Times New Roman"/>
          <w:sz w:val="24"/>
          <w:szCs w:val="24"/>
        </w:rPr>
        <w:t>yła</w:t>
      </w:r>
      <w:r w:rsidRPr="0046533A">
        <w:rPr>
          <w:rFonts w:ascii="Times New Roman" w:hAnsi="Times New Roman" w:cs="Times New Roman"/>
          <w:sz w:val="24"/>
          <w:szCs w:val="24"/>
        </w:rPr>
        <w:t xml:space="preserve"> skupiona na tym</w:t>
      </w:r>
      <w:r w:rsidR="0046533A">
        <w:rPr>
          <w:rFonts w:ascii="Times New Roman" w:hAnsi="Times New Roman" w:cs="Times New Roman"/>
          <w:sz w:val="24"/>
          <w:szCs w:val="24"/>
        </w:rPr>
        <w:t>,</w:t>
      </w:r>
      <w:r w:rsidRPr="0046533A">
        <w:rPr>
          <w:rFonts w:ascii="Times New Roman" w:hAnsi="Times New Roman" w:cs="Times New Roman"/>
          <w:sz w:val="24"/>
          <w:szCs w:val="24"/>
        </w:rPr>
        <w:t xml:space="preserve"> w jaki sposób Powell na konferencji prasowej odni</w:t>
      </w:r>
      <w:r w:rsidR="009716E4" w:rsidRPr="0046533A">
        <w:rPr>
          <w:rFonts w:ascii="Times New Roman" w:hAnsi="Times New Roman" w:cs="Times New Roman"/>
          <w:sz w:val="24"/>
          <w:szCs w:val="24"/>
        </w:rPr>
        <w:t>ósł</w:t>
      </w:r>
      <w:r w:rsidRPr="0046533A">
        <w:rPr>
          <w:rFonts w:ascii="Times New Roman" w:hAnsi="Times New Roman" w:cs="Times New Roman"/>
          <w:sz w:val="24"/>
          <w:szCs w:val="24"/>
        </w:rPr>
        <w:t xml:space="preserve"> się do kolejnej, </w:t>
      </w:r>
      <w:r w:rsidR="009716E4" w:rsidRPr="0046533A">
        <w:rPr>
          <w:rFonts w:ascii="Times New Roman" w:hAnsi="Times New Roman" w:cs="Times New Roman"/>
          <w:sz w:val="24"/>
          <w:szCs w:val="24"/>
        </w:rPr>
        <w:t>wrześniowej</w:t>
      </w:r>
      <w:r w:rsidRPr="0046533A">
        <w:rPr>
          <w:rFonts w:ascii="Times New Roman" w:hAnsi="Times New Roman" w:cs="Times New Roman"/>
          <w:sz w:val="24"/>
          <w:szCs w:val="24"/>
        </w:rPr>
        <w:t xml:space="preserve"> decyzji.</w:t>
      </w:r>
      <w:r w:rsidR="009716E4" w:rsidRPr="0046533A">
        <w:rPr>
          <w:rFonts w:ascii="Times New Roman" w:hAnsi="Times New Roman" w:cs="Times New Roman"/>
          <w:sz w:val="24"/>
          <w:szCs w:val="24"/>
        </w:rPr>
        <w:t xml:space="preserve"> </w:t>
      </w:r>
      <w:r w:rsidRPr="0046533A">
        <w:rPr>
          <w:rFonts w:ascii="Times New Roman" w:hAnsi="Times New Roman" w:cs="Times New Roman"/>
          <w:sz w:val="24"/>
          <w:szCs w:val="24"/>
        </w:rPr>
        <w:t xml:space="preserve">W </w:t>
      </w:r>
      <w:proofErr w:type="spellStart"/>
      <w:r w:rsidRPr="0046533A">
        <w:rPr>
          <w:rFonts w:ascii="Times New Roman" w:hAnsi="Times New Roman" w:cs="Times New Roman"/>
          <w:sz w:val="24"/>
          <w:szCs w:val="24"/>
        </w:rPr>
        <w:t>Fed</w:t>
      </w:r>
      <w:proofErr w:type="spellEnd"/>
      <w:r w:rsidRPr="0046533A">
        <w:rPr>
          <w:rFonts w:ascii="Times New Roman" w:hAnsi="Times New Roman" w:cs="Times New Roman"/>
          <w:sz w:val="24"/>
          <w:szCs w:val="24"/>
        </w:rPr>
        <w:t xml:space="preserve"> zmieniła się ocena ryzyka. Przez ostatnich kilka lat walka z wysoką inflacją była głównym zadaniem polityki monetarnej w USA. Teraz nastąpiła zmiana. </w:t>
      </w:r>
      <w:r w:rsidR="009716E4" w:rsidRPr="0046533A">
        <w:rPr>
          <w:rFonts w:ascii="Times New Roman" w:hAnsi="Times New Roman" w:cs="Times New Roman"/>
          <w:sz w:val="24"/>
          <w:szCs w:val="24"/>
        </w:rPr>
        <w:t>P</w:t>
      </w:r>
      <w:r w:rsidRPr="0046533A">
        <w:rPr>
          <w:rFonts w:ascii="Times New Roman" w:hAnsi="Times New Roman" w:cs="Times New Roman"/>
          <w:sz w:val="24"/>
          <w:szCs w:val="24"/>
        </w:rPr>
        <w:t xml:space="preserve">odczas ostatniego zeznania Powella przed Kongresem jasno </w:t>
      </w:r>
      <w:r w:rsidRPr="0046533A">
        <w:rPr>
          <w:rFonts w:ascii="Times New Roman" w:hAnsi="Times New Roman" w:cs="Times New Roman"/>
          <w:sz w:val="24"/>
          <w:szCs w:val="24"/>
        </w:rPr>
        <w:lastRenderedPageBreak/>
        <w:t xml:space="preserve">zostało stwierdzone, że wysoka dynamika wzrostu cen nie jest aktualnie jedynym problemem. W tym momencie wg oceny </w:t>
      </w:r>
      <w:proofErr w:type="spellStart"/>
      <w:r w:rsidRPr="0046533A">
        <w:rPr>
          <w:rFonts w:ascii="Times New Roman" w:hAnsi="Times New Roman" w:cs="Times New Roman"/>
          <w:sz w:val="24"/>
          <w:szCs w:val="24"/>
        </w:rPr>
        <w:t>Fed</w:t>
      </w:r>
      <w:proofErr w:type="spellEnd"/>
      <w:r w:rsidRPr="0046533A">
        <w:rPr>
          <w:rFonts w:ascii="Times New Roman" w:hAnsi="Times New Roman" w:cs="Times New Roman"/>
          <w:sz w:val="24"/>
          <w:szCs w:val="24"/>
        </w:rPr>
        <w:t xml:space="preserve"> rynek pracy na tyle się „ochłodził”, że nie generuje już tak dużej presji inflacyjnej.</w:t>
      </w:r>
      <w:r w:rsidR="009716E4" w:rsidRPr="0046533A">
        <w:rPr>
          <w:rFonts w:ascii="Times New Roman" w:hAnsi="Times New Roman" w:cs="Times New Roman"/>
          <w:sz w:val="24"/>
          <w:szCs w:val="24"/>
        </w:rPr>
        <w:t xml:space="preserve"> </w:t>
      </w:r>
      <w:r w:rsidRPr="0046533A">
        <w:rPr>
          <w:rFonts w:ascii="Times New Roman" w:hAnsi="Times New Roman" w:cs="Times New Roman"/>
          <w:sz w:val="24"/>
          <w:szCs w:val="24"/>
        </w:rPr>
        <w:t xml:space="preserve">Można uznać, że ocena ryzyka przez Rezerwę Federalną stała się dużo bardziej zrównoważona. W tym momencie pełne zatrudnienie jak i stabilizacja inflacji stały się porównywalnymi pod kątem wagi celami. Stopa inflacji bazowej oparta na </w:t>
      </w:r>
      <w:proofErr w:type="spellStart"/>
      <w:r w:rsidRPr="0046533A">
        <w:rPr>
          <w:rFonts w:ascii="Times New Roman" w:hAnsi="Times New Roman" w:cs="Times New Roman"/>
          <w:sz w:val="24"/>
          <w:szCs w:val="24"/>
        </w:rPr>
        <w:t>deflatorze</w:t>
      </w:r>
      <w:proofErr w:type="spellEnd"/>
      <w:r w:rsidRPr="0046533A">
        <w:rPr>
          <w:rFonts w:ascii="Times New Roman" w:hAnsi="Times New Roman" w:cs="Times New Roman"/>
          <w:sz w:val="24"/>
          <w:szCs w:val="24"/>
        </w:rPr>
        <w:t xml:space="preserve"> wydatków na konsumpcję osobistą wyniosła w czerwcu 2,6 proc. Jednocześnie stopa bezrobocia nieznacznie wzrosła w ostatnich miesiącach. W poprzednim miesiącu wyniosła ona 4,1 proc. i była niemal dokładnie na poziomie, który </w:t>
      </w:r>
      <w:proofErr w:type="spellStart"/>
      <w:r w:rsidRPr="0046533A">
        <w:rPr>
          <w:rFonts w:ascii="Times New Roman" w:hAnsi="Times New Roman" w:cs="Times New Roman"/>
          <w:sz w:val="24"/>
          <w:szCs w:val="24"/>
        </w:rPr>
        <w:t>Fed</w:t>
      </w:r>
      <w:proofErr w:type="spellEnd"/>
      <w:r w:rsidRPr="0046533A">
        <w:rPr>
          <w:rFonts w:ascii="Times New Roman" w:hAnsi="Times New Roman" w:cs="Times New Roman"/>
          <w:sz w:val="24"/>
          <w:szCs w:val="24"/>
        </w:rPr>
        <w:t xml:space="preserve"> uważa za długoterminową stopę równowagi.</w:t>
      </w:r>
      <w:r w:rsidR="009716E4" w:rsidRPr="0046533A">
        <w:rPr>
          <w:rFonts w:ascii="Times New Roman" w:hAnsi="Times New Roman" w:cs="Times New Roman"/>
          <w:sz w:val="24"/>
          <w:szCs w:val="24"/>
        </w:rPr>
        <w:t xml:space="preserve"> </w:t>
      </w:r>
      <w:r w:rsidRPr="0046533A">
        <w:rPr>
          <w:rFonts w:ascii="Times New Roman" w:hAnsi="Times New Roman" w:cs="Times New Roman"/>
          <w:sz w:val="24"/>
          <w:szCs w:val="24"/>
        </w:rPr>
        <w:t xml:space="preserve">Rynek na ten moment zdecydowanie oczekuje obniżki we wrześniu. Jednocześnie </w:t>
      </w:r>
      <w:r w:rsidR="00F250CE" w:rsidRPr="0046533A">
        <w:rPr>
          <w:rFonts w:ascii="Times New Roman" w:hAnsi="Times New Roman" w:cs="Times New Roman"/>
          <w:sz w:val="24"/>
          <w:szCs w:val="24"/>
        </w:rPr>
        <w:t>inwestujący w obligacje zakładają</w:t>
      </w:r>
      <w:r w:rsidRPr="0046533A">
        <w:rPr>
          <w:rFonts w:ascii="Times New Roman" w:hAnsi="Times New Roman" w:cs="Times New Roman"/>
          <w:sz w:val="24"/>
          <w:szCs w:val="24"/>
        </w:rPr>
        <w:t>, że całkiem realna jest obniżka w listopadzie a kolejna w grudniu.</w:t>
      </w:r>
      <w:r w:rsidR="00F250CE" w:rsidRPr="0046533A">
        <w:rPr>
          <w:rFonts w:ascii="Times New Roman" w:hAnsi="Times New Roman" w:cs="Times New Roman"/>
          <w:sz w:val="24"/>
          <w:szCs w:val="24"/>
        </w:rPr>
        <w:t xml:space="preserve"> To w naturalny sposób buduje nadzieje na wzrost cen obligacji </w:t>
      </w:r>
      <w:proofErr w:type="spellStart"/>
      <w:r w:rsidR="00F250CE" w:rsidRPr="0046533A">
        <w:rPr>
          <w:rFonts w:ascii="Times New Roman" w:hAnsi="Times New Roman" w:cs="Times New Roman"/>
          <w:sz w:val="24"/>
          <w:szCs w:val="24"/>
        </w:rPr>
        <w:t>stałokuponowych</w:t>
      </w:r>
      <w:proofErr w:type="spellEnd"/>
      <w:r w:rsidR="00F250CE" w:rsidRPr="0046533A">
        <w:rPr>
          <w:rFonts w:ascii="Times New Roman" w:hAnsi="Times New Roman" w:cs="Times New Roman"/>
          <w:sz w:val="24"/>
          <w:szCs w:val="24"/>
        </w:rPr>
        <w:t>.</w:t>
      </w:r>
      <w:r w:rsidR="003B7B14" w:rsidRPr="0046533A">
        <w:rPr>
          <w:rFonts w:ascii="Times New Roman" w:hAnsi="Times New Roman" w:cs="Times New Roman"/>
          <w:sz w:val="24"/>
          <w:szCs w:val="24"/>
        </w:rPr>
        <w:t xml:space="preserve"> </w:t>
      </w:r>
      <w:r w:rsidRPr="0046533A">
        <w:rPr>
          <w:rFonts w:ascii="Times New Roman" w:hAnsi="Times New Roman" w:cs="Times New Roman"/>
          <w:sz w:val="24"/>
          <w:szCs w:val="24"/>
        </w:rPr>
        <w:t xml:space="preserve">Jeśli stopy w USA </w:t>
      </w:r>
      <w:r w:rsidR="00D6330F" w:rsidRPr="0046533A">
        <w:rPr>
          <w:rFonts w:ascii="Times New Roman" w:hAnsi="Times New Roman" w:cs="Times New Roman"/>
          <w:sz w:val="24"/>
          <w:szCs w:val="24"/>
        </w:rPr>
        <w:t>z</w:t>
      </w:r>
      <w:r w:rsidRPr="0046533A">
        <w:rPr>
          <w:rFonts w:ascii="Times New Roman" w:hAnsi="Times New Roman" w:cs="Times New Roman"/>
          <w:sz w:val="24"/>
          <w:szCs w:val="24"/>
        </w:rPr>
        <w:t>ostaną obniżone wg prognoz we wrześniu, wówczas będzie to oznaczać, że okres podwyższonego poziomu kosztu pieniądza b</w:t>
      </w:r>
      <w:r w:rsidR="00F250CE" w:rsidRPr="0046533A">
        <w:rPr>
          <w:rFonts w:ascii="Times New Roman" w:hAnsi="Times New Roman" w:cs="Times New Roman"/>
          <w:sz w:val="24"/>
          <w:szCs w:val="24"/>
        </w:rPr>
        <w:t>ył</w:t>
      </w:r>
      <w:r w:rsidRPr="0046533A">
        <w:rPr>
          <w:rFonts w:ascii="Times New Roman" w:hAnsi="Times New Roman" w:cs="Times New Roman"/>
          <w:sz w:val="24"/>
          <w:szCs w:val="24"/>
        </w:rPr>
        <w:t xml:space="preserve"> utrzymany przez 15 miesięcy. Jest to stosunkowo długi okres w porównaniu z cyklami od końca lat 80-tych. Jedynie między czerwcem 2006 r. a wrześniem 2007 r. utrzymywały się one na szczytowym poziomie przez podobny cza</w:t>
      </w:r>
      <w:r w:rsidR="004C6F42" w:rsidRPr="0046533A">
        <w:rPr>
          <w:rFonts w:ascii="Times New Roman" w:hAnsi="Times New Roman" w:cs="Times New Roman"/>
          <w:sz w:val="24"/>
          <w:szCs w:val="24"/>
        </w:rPr>
        <w:t xml:space="preserve">s… A jaki był tego skutek dla rynków finansowych, każdy kto interesuje się finansami, </w:t>
      </w:r>
      <w:r w:rsidR="00F250CE" w:rsidRPr="0046533A">
        <w:rPr>
          <w:rFonts w:ascii="Times New Roman" w:hAnsi="Times New Roman" w:cs="Times New Roman"/>
          <w:sz w:val="24"/>
          <w:szCs w:val="24"/>
        </w:rPr>
        <w:t>z pewnością pamięta</w:t>
      </w:r>
      <w:r w:rsidR="004C6F42" w:rsidRPr="0046533A">
        <w:rPr>
          <w:rFonts w:ascii="Times New Roman" w:hAnsi="Times New Roman" w:cs="Times New Roman"/>
          <w:sz w:val="24"/>
          <w:szCs w:val="24"/>
        </w:rPr>
        <w:t xml:space="preserve">. Trudno zapomnieć zamknięte drzwi banków amerykańskich, ludzi z kartonowymi pudełkami, którzy właśnie stracili miejsce pracy. </w:t>
      </w:r>
      <w:r w:rsidR="00EE3CEC" w:rsidRPr="0046533A">
        <w:rPr>
          <w:rFonts w:ascii="Times New Roman" w:hAnsi="Times New Roman" w:cs="Times New Roman"/>
          <w:sz w:val="24"/>
          <w:szCs w:val="24"/>
        </w:rPr>
        <w:t>Rada UE wszczęła procedurę nadmiernego deficytu (EDP) wobec Polski, a także sześciu innych</w:t>
      </w:r>
      <w:r w:rsidR="004C6F42" w:rsidRPr="0046533A">
        <w:rPr>
          <w:rFonts w:ascii="Times New Roman" w:hAnsi="Times New Roman" w:cs="Times New Roman"/>
          <w:sz w:val="24"/>
          <w:szCs w:val="24"/>
        </w:rPr>
        <w:t xml:space="preserve"> </w:t>
      </w:r>
      <w:r w:rsidR="00EE3CEC" w:rsidRPr="0046533A">
        <w:rPr>
          <w:rFonts w:ascii="Times New Roman" w:hAnsi="Times New Roman" w:cs="Times New Roman"/>
          <w:sz w:val="24"/>
          <w:szCs w:val="24"/>
        </w:rPr>
        <w:t>krajów. Objęte procedurą kraje będą miały cztery do siedmiu lat na realizację działań naprawczych.</w:t>
      </w:r>
      <w:r w:rsidR="004C6F42" w:rsidRPr="0046533A">
        <w:rPr>
          <w:rFonts w:ascii="Times New Roman" w:hAnsi="Times New Roman" w:cs="Times New Roman"/>
          <w:sz w:val="24"/>
          <w:szCs w:val="24"/>
        </w:rPr>
        <w:t xml:space="preserve"> </w:t>
      </w:r>
      <w:r w:rsidR="00EE3CEC" w:rsidRPr="0046533A">
        <w:rPr>
          <w:rFonts w:ascii="Times New Roman" w:hAnsi="Times New Roman" w:cs="Times New Roman"/>
          <w:sz w:val="24"/>
          <w:szCs w:val="24"/>
        </w:rPr>
        <w:t>W listopadzie Komisja Europejska powinna przedstawić swoje rekomendacje dotyczące</w:t>
      </w:r>
      <w:r w:rsidR="004C6F42" w:rsidRPr="0046533A">
        <w:rPr>
          <w:rFonts w:ascii="Times New Roman" w:hAnsi="Times New Roman" w:cs="Times New Roman"/>
          <w:sz w:val="24"/>
          <w:szCs w:val="24"/>
        </w:rPr>
        <w:t xml:space="preserve"> </w:t>
      </w:r>
      <w:r w:rsidR="00EE3CEC" w:rsidRPr="0046533A">
        <w:rPr>
          <w:rFonts w:ascii="Times New Roman" w:hAnsi="Times New Roman" w:cs="Times New Roman"/>
          <w:sz w:val="24"/>
          <w:szCs w:val="24"/>
        </w:rPr>
        <w:t>efektywnych działań zmierzających do obniżenia poziomu deficytu.</w:t>
      </w:r>
      <w:r w:rsidR="00CF01B8" w:rsidRPr="0046533A">
        <w:rPr>
          <w:rFonts w:ascii="Times New Roman" w:hAnsi="Times New Roman" w:cs="Times New Roman"/>
          <w:sz w:val="24"/>
          <w:szCs w:val="24"/>
        </w:rPr>
        <w:t xml:space="preserve"> W tej klasie aktywów zapanował konsensus wedle którego druga połowa roku ma należeć do obligacji stałoprocentowych. Większość rynku zakłada więc, że ceny obligacji będą rosły w nadziei na obniżkę stopy procentowej nawet jeśli miałoby to nastąpić…w 2028 roku (koniec kadencji większości członków RPP).</w:t>
      </w:r>
      <w:r w:rsidR="00F250CE" w:rsidRPr="0046533A">
        <w:rPr>
          <w:rFonts w:ascii="Times New Roman" w:hAnsi="Times New Roman" w:cs="Times New Roman"/>
          <w:sz w:val="24"/>
          <w:szCs w:val="24"/>
        </w:rPr>
        <w:t xml:space="preserve"> Bardzo dziwne nadzieje, na tle prognoz dotyczących inflacji w 2025 roku. A która z prognoz na następny rok jest najbardziej pesymistyczna…? Tak, tak – prognoza NBP mówiąca o 5,2% inflacji.</w:t>
      </w:r>
      <w:r w:rsidR="004D003E" w:rsidRPr="0046533A">
        <w:rPr>
          <w:rFonts w:ascii="Times New Roman" w:hAnsi="Times New Roman" w:cs="Times New Roman"/>
          <w:sz w:val="24"/>
          <w:szCs w:val="24"/>
        </w:rPr>
        <w:t xml:space="preserve"> </w:t>
      </w:r>
      <w:r w:rsidR="00CD0C89" w:rsidRPr="0046533A">
        <w:rPr>
          <w:rFonts w:ascii="Times New Roman" w:hAnsi="Times New Roman" w:cs="Times New Roman"/>
          <w:sz w:val="24"/>
          <w:szCs w:val="24"/>
        </w:rPr>
        <w:t>Póki co Inflacja w lipcu wstępnie wyniosła 4,2%, poniżej prognozy na poziomie 4,4% i przy poprzednim odczycie 2,6%. J</w:t>
      </w:r>
      <w:r w:rsidR="004D003E" w:rsidRPr="0046533A">
        <w:rPr>
          <w:rFonts w:ascii="Times New Roman" w:hAnsi="Times New Roman" w:cs="Times New Roman"/>
          <w:sz w:val="24"/>
          <w:szCs w:val="24"/>
        </w:rPr>
        <w:t xml:space="preserve">ak zachodnie pieniądze uprą się, że czas już kupować obligacje stało-kuponowe, to analitykom post factum nie pozostanie nic innego jak napisać, że rynek z </w:t>
      </w:r>
      <w:r w:rsidR="0046533A">
        <w:rPr>
          <w:rFonts w:ascii="Times New Roman" w:hAnsi="Times New Roman" w:cs="Times New Roman"/>
          <w:sz w:val="24"/>
          <w:szCs w:val="24"/>
        </w:rPr>
        <w:t>zdecydowanie dużym</w:t>
      </w:r>
      <w:r w:rsidR="004D003E" w:rsidRPr="0046533A">
        <w:rPr>
          <w:rFonts w:ascii="Times New Roman" w:hAnsi="Times New Roman" w:cs="Times New Roman"/>
          <w:sz w:val="24"/>
          <w:szCs w:val="24"/>
        </w:rPr>
        <w:t xml:space="preserve"> wyprzedzeniem zdyskontował obniżanie stóp procentowych…A zatem jedźmy jak K</w:t>
      </w:r>
      <w:r w:rsidR="00DF009B" w:rsidRPr="0046533A">
        <w:rPr>
          <w:rFonts w:ascii="Times New Roman" w:hAnsi="Times New Roman" w:cs="Times New Roman"/>
          <w:sz w:val="24"/>
          <w:szCs w:val="24"/>
        </w:rPr>
        <w:t xml:space="preserve">laudia </w:t>
      </w:r>
      <w:r w:rsidR="004D003E" w:rsidRPr="0046533A">
        <w:rPr>
          <w:rFonts w:ascii="Times New Roman" w:hAnsi="Times New Roman" w:cs="Times New Roman"/>
          <w:sz w:val="24"/>
          <w:szCs w:val="24"/>
        </w:rPr>
        <w:t>Zwolińska</w:t>
      </w:r>
      <w:r w:rsidR="006F6B85" w:rsidRPr="0046533A">
        <w:rPr>
          <w:rFonts w:ascii="Times New Roman" w:hAnsi="Times New Roman" w:cs="Times New Roman"/>
          <w:sz w:val="24"/>
          <w:szCs w:val="24"/>
        </w:rPr>
        <w:t xml:space="preserve"> (polska kajakarka z medalem na IO)</w:t>
      </w:r>
      <w:r w:rsidR="004D003E" w:rsidRPr="0046533A">
        <w:rPr>
          <w:rFonts w:ascii="Times New Roman" w:hAnsi="Times New Roman" w:cs="Times New Roman"/>
          <w:sz w:val="24"/>
          <w:szCs w:val="24"/>
        </w:rPr>
        <w:t xml:space="preserve"> na 5</w:t>
      </w:r>
      <w:r w:rsidR="006F6B85" w:rsidRPr="0046533A">
        <w:rPr>
          <w:rFonts w:ascii="Times New Roman" w:hAnsi="Times New Roman" w:cs="Times New Roman"/>
          <w:sz w:val="24"/>
          <w:szCs w:val="24"/>
        </w:rPr>
        <w:t>.</w:t>
      </w:r>
      <w:r w:rsidR="004D003E" w:rsidRPr="0046533A">
        <w:rPr>
          <w:rFonts w:ascii="Times New Roman" w:hAnsi="Times New Roman" w:cs="Times New Roman"/>
          <w:sz w:val="24"/>
          <w:szCs w:val="24"/>
        </w:rPr>
        <w:t xml:space="preserve"> </w:t>
      </w:r>
    </w:p>
    <w:p w14:paraId="2233E55A" w14:textId="77777777" w:rsidR="00793EA8" w:rsidRPr="0046533A" w:rsidRDefault="00793EA8" w:rsidP="0046533A">
      <w:pPr>
        <w:pStyle w:val="Nagwek2"/>
        <w:rPr>
          <w:b/>
          <w:bCs/>
        </w:rPr>
      </w:pPr>
      <w:r w:rsidRPr="0046533A">
        <w:rPr>
          <w:b/>
          <w:bCs/>
        </w:rPr>
        <w:t>SUROWCE</w:t>
      </w:r>
    </w:p>
    <w:p w14:paraId="3497E9B0" w14:textId="77777777" w:rsidR="0046533A" w:rsidRDefault="00840A1E" w:rsidP="0046533A">
      <w:pPr>
        <w:rPr>
          <w:rFonts w:ascii="Times New Roman" w:hAnsi="Times New Roman" w:cs="Times New Roman"/>
          <w:color w:val="26272C"/>
          <w:sz w:val="24"/>
          <w:szCs w:val="24"/>
        </w:rPr>
      </w:pPr>
      <w:r w:rsidRPr="0046533A">
        <w:rPr>
          <w:rFonts w:ascii="Times New Roman" w:hAnsi="Times New Roman" w:cs="Times New Roman"/>
          <w:color w:val="26272C"/>
          <w:sz w:val="24"/>
          <w:szCs w:val="24"/>
        </w:rPr>
        <w:t xml:space="preserve">Cena ropy naftowej podobnie jak i cena miedzi, spada od początku lipca. Aktualnie kurs zbliża się już do wsparcia wyznaczonego przez minima z ostatniego roku. </w:t>
      </w:r>
      <w:r w:rsidR="00D05F42" w:rsidRPr="0046533A">
        <w:rPr>
          <w:rFonts w:ascii="Times New Roman" w:hAnsi="Times New Roman" w:cs="Times New Roman"/>
          <w:color w:val="26272C"/>
          <w:sz w:val="24"/>
          <w:szCs w:val="24"/>
        </w:rPr>
        <w:t>Dominującym trendem</w:t>
      </w:r>
      <w:r w:rsidR="00E87D15" w:rsidRPr="0046533A">
        <w:rPr>
          <w:rFonts w:ascii="Times New Roman" w:hAnsi="Times New Roman" w:cs="Times New Roman"/>
          <w:color w:val="26272C"/>
          <w:sz w:val="24"/>
          <w:szCs w:val="24"/>
        </w:rPr>
        <w:t xml:space="preserve"> długoterminowym</w:t>
      </w:r>
      <w:r w:rsidR="00D05F42" w:rsidRPr="0046533A">
        <w:rPr>
          <w:rFonts w:ascii="Times New Roman" w:hAnsi="Times New Roman" w:cs="Times New Roman"/>
          <w:color w:val="26272C"/>
          <w:sz w:val="24"/>
          <w:szCs w:val="24"/>
        </w:rPr>
        <w:t xml:space="preserve"> nie jest jednak spadkowy raczej trzeba zauważyć poruszanie się ceny ropy w trendzie bocznym</w:t>
      </w:r>
      <w:r w:rsidRPr="0046533A">
        <w:rPr>
          <w:rFonts w:ascii="Times New Roman" w:hAnsi="Times New Roman" w:cs="Times New Roman"/>
          <w:color w:val="26272C"/>
          <w:sz w:val="24"/>
          <w:szCs w:val="24"/>
        </w:rPr>
        <w:t xml:space="preserve">. </w:t>
      </w:r>
      <w:r w:rsidR="00D05F42" w:rsidRPr="0046533A">
        <w:rPr>
          <w:rFonts w:ascii="Times New Roman" w:hAnsi="Times New Roman" w:cs="Times New Roman"/>
          <w:color w:val="26272C"/>
          <w:sz w:val="24"/>
          <w:szCs w:val="24"/>
        </w:rPr>
        <w:t>Ponieważ</w:t>
      </w:r>
      <w:r w:rsidRPr="0046533A">
        <w:rPr>
          <w:rFonts w:ascii="Times New Roman" w:hAnsi="Times New Roman" w:cs="Times New Roman"/>
          <w:color w:val="26272C"/>
          <w:sz w:val="24"/>
          <w:szCs w:val="24"/>
        </w:rPr>
        <w:t xml:space="preserve"> amplituda wahań z biegiem czasu jest coraz mniejsza</w:t>
      </w:r>
      <w:r w:rsidR="00D05F42" w:rsidRPr="0046533A">
        <w:rPr>
          <w:rFonts w:ascii="Times New Roman" w:hAnsi="Times New Roman" w:cs="Times New Roman"/>
          <w:color w:val="26272C"/>
          <w:sz w:val="24"/>
          <w:szCs w:val="24"/>
        </w:rPr>
        <w:t>, coraz bliżej też jakiegoś rozstrzygnięcia</w:t>
      </w:r>
      <w:r w:rsidRPr="0046533A">
        <w:rPr>
          <w:rFonts w:ascii="Times New Roman" w:hAnsi="Times New Roman" w:cs="Times New Roman"/>
          <w:color w:val="26272C"/>
          <w:sz w:val="24"/>
          <w:szCs w:val="24"/>
        </w:rPr>
        <w:t>. Wydaje się, że potencjalne pokonanie "dołka" z czerwca mogłoby być sygnałem sprzedaży, zaś pokonanie szczytu z września zeszłego roku sygnałem kupna. Póki co kursowi bliżej do testowania wsparć</w:t>
      </w:r>
      <w:r w:rsidR="00E87D15" w:rsidRPr="0046533A">
        <w:rPr>
          <w:rFonts w:ascii="Times New Roman" w:hAnsi="Times New Roman" w:cs="Times New Roman"/>
          <w:color w:val="26272C"/>
          <w:sz w:val="24"/>
          <w:szCs w:val="24"/>
        </w:rPr>
        <w:t xml:space="preserve"> (spadek cen)</w:t>
      </w:r>
      <w:r w:rsidR="00D6330F" w:rsidRPr="0046533A">
        <w:rPr>
          <w:rFonts w:ascii="Times New Roman" w:hAnsi="Times New Roman" w:cs="Times New Roman"/>
          <w:color w:val="26272C"/>
          <w:sz w:val="24"/>
          <w:szCs w:val="24"/>
        </w:rPr>
        <w:t>.</w:t>
      </w:r>
      <w:r w:rsidRPr="0046533A">
        <w:rPr>
          <w:rFonts w:ascii="Times New Roman" w:hAnsi="Times New Roman" w:cs="Times New Roman"/>
          <w:color w:val="26272C"/>
          <w:sz w:val="24"/>
          <w:szCs w:val="24"/>
        </w:rPr>
        <w:t xml:space="preserve"> </w:t>
      </w:r>
    </w:p>
    <w:p w14:paraId="4C5690B3" w14:textId="120FA53E" w:rsidR="006F7C18" w:rsidRPr="0046533A" w:rsidRDefault="003340FE" w:rsidP="0046533A">
      <w:pPr>
        <w:rPr>
          <w:rFonts w:ascii="Times New Roman" w:hAnsi="Times New Roman" w:cs="Times New Roman"/>
          <w:color w:val="26272C"/>
          <w:sz w:val="24"/>
          <w:szCs w:val="24"/>
        </w:rPr>
      </w:pPr>
      <w:r w:rsidRPr="0046533A">
        <w:rPr>
          <w:rFonts w:ascii="Times New Roman" w:hAnsi="Times New Roman" w:cs="Times New Roman"/>
          <w:color w:val="26272C"/>
          <w:sz w:val="24"/>
          <w:szCs w:val="24"/>
        </w:rPr>
        <w:t xml:space="preserve">Uspokojenie w geopolityce (argument popytowy) równoważy bardzo marny popyt z USA i Chin. W Chinach jednak </w:t>
      </w:r>
      <w:r w:rsidR="00537E35" w:rsidRPr="0046533A">
        <w:rPr>
          <w:rFonts w:ascii="Times New Roman" w:hAnsi="Times New Roman" w:cs="Times New Roman"/>
          <w:color w:val="26272C"/>
          <w:sz w:val="24"/>
          <w:szCs w:val="24"/>
        </w:rPr>
        <w:t xml:space="preserve">dopiero co </w:t>
      </w:r>
      <w:r w:rsidRPr="0046533A">
        <w:rPr>
          <w:rFonts w:ascii="Times New Roman" w:hAnsi="Times New Roman" w:cs="Times New Roman"/>
          <w:color w:val="26272C"/>
          <w:sz w:val="24"/>
          <w:szCs w:val="24"/>
        </w:rPr>
        <w:t>obniżono stopę</w:t>
      </w:r>
      <w:r w:rsidR="00200B6E" w:rsidRPr="0046533A">
        <w:rPr>
          <w:rFonts w:ascii="Times New Roman" w:hAnsi="Times New Roman" w:cs="Times New Roman"/>
          <w:color w:val="26272C"/>
          <w:sz w:val="24"/>
          <w:szCs w:val="24"/>
        </w:rPr>
        <w:t xml:space="preserve"> procentowa</w:t>
      </w:r>
      <w:r w:rsidRPr="0046533A">
        <w:rPr>
          <w:rFonts w:ascii="Times New Roman" w:hAnsi="Times New Roman" w:cs="Times New Roman"/>
          <w:color w:val="26272C"/>
          <w:sz w:val="24"/>
          <w:szCs w:val="24"/>
        </w:rPr>
        <w:t>, a w USA jesteśmy przed pierwszą obniżką, wiec i nadzieję na odbudowanie popytu jakby większe.</w:t>
      </w:r>
      <w:r w:rsidR="006F7C18" w:rsidRPr="0046533A">
        <w:rPr>
          <w:rFonts w:ascii="Times New Roman" w:hAnsi="Times New Roman" w:cs="Times New Roman"/>
          <w:color w:val="26272C"/>
          <w:sz w:val="24"/>
          <w:szCs w:val="24"/>
        </w:rPr>
        <w:t xml:space="preserve"> Z tego samego powodu (gasnące siły gospodarek) ceny miedzi na Londyńskiej Giełdzie Metali (LME) </w:t>
      </w:r>
      <w:r w:rsidR="006F7C18" w:rsidRPr="0046533A">
        <w:rPr>
          <w:rFonts w:ascii="Times New Roman" w:hAnsi="Times New Roman" w:cs="Times New Roman"/>
          <w:color w:val="26272C"/>
          <w:sz w:val="24"/>
          <w:szCs w:val="24"/>
        </w:rPr>
        <w:lastRenderedPageBreak/>
        <w:t xml:space="preserve">odnotowały spadek do poziomu 9045 dolarów za tonę metryczną. </w:t>
      </w:r>
      <w:r w:rsidR="006F7C18" w:rsidRPr="00E51E88">
        <w:rPr>
          <w:rFonts w:ascii="Times New Roman" w:hAnsi="Times New Roman" w:cs="Times New Roman"/>
          <w:b/>
          <w:bCs/>
          <w:color w:val="26272C"/>
          <w:sz w:val="24"/>
          <w:szCs w:val="24"/>
        </w:rPr>
        <w:t>Spadek ten stanowi 18% spadek w stosunku do rekordowego poziomu osiągniętego pod koniec maja, co podkreśla ciągłą zmienność na rynku metali</w:t>
      </w:r>
      <w:r w:rsidR="006F7C18" w:rsidRPr="0046533A">
        <w:rPr>
          <w:rFonts w:ascii="Times New Roman" w:hAnsi="Times New Roman" w:cs="Times New Roman"/>
          <w:color w:val="26272C"/>
          <w:sz w:val="24"/>
          <w:szCs w:val="24"/>
        </w:rPr>
        <w:t xml:space="preserve">. Obecny spadek cen miedzi odzwierciedla szerszą tendencję, na którą wpływają zwiększone zapasy i słaby popyt ze strony głównych odbiorców. Zapasy miedzi na giełdzie LME wzrosły ponad dwukrotnie, do 239 100 ton od początku czerwca. Ten gwałtowny wzrost zapasów uwydatnia znaczną nadwyżkę podaży. Tendencję tę widać na giełdzie kontraktów </w:t>
      </w:r>
      <w:proofErr w:type="spellStart"/>
      <w:r w:rsidR="006F7C18" w:rsidRPr="0046533A">
        <w:rPr>
          <w:rFonts w:ascii="Times New Roman" w:hAnsi="Times New Roman" w:cs="Times New Roman"/>
          <w:color w:val="26272C"/>
          <w:sz w:val="24"/>
          <w:szCs w:val="24"/>
        </w:rPr>
        <w:t>futures</w:t>
      </w:r>
      <w:proofErr w:type="spellEnd"/>
      <w:r w:rsidR="006F7C18" w:rsidRPr="0046533A">
        <w:rPr>
          <w:rFonts w:ascii="Times New Roman" w:hAnsi="Times New Roman" w:cs="Times New Roman"/>
          <w:color w:val="26272C"/>
          <w:sz w:val="24"/>
          <w:szCs w:val="24"/>
        </w:rPr>
        <w:t xml:space="preserve"> w Szanghaju, gdzie zapasy wzrosły w tym roku około dziesięciokrotnie, choć ostatnio spadły do najniższego poziomu od dwóch miesięcy wynoszącego 301 203 ton. Pomimo niedawnego spadku cen</w:t>
      </w:r>
      <w:r w:rsidR="00E51E88">
        <w:rPr>
          <w:rFonts w:ascii="Times New Roman" w:hAnsi="Times New Roman" w:cs="Times New Roman"/>
          <w:color w:val="26272C"/>
          <w:sz w:val="24"/>
          <w:szCs w:val="24"/>
        </w:rPr>
        <w:t>,</w:t>
      </w:r>
      <w:r w:rsidR="006F7C18" w:rsidRPr="0046533A">
        <w:rPr>
          <w:rFonts w:ascii="Times New Roman" w:hAnsi="Times New Roman" w:cs="Times New Roman"/>
          <w:color w:val="26272C"/>
          <w:sz w:val="24"/>
          <w:szCs w:val="24"/>
        </w:rPr>
        <w:t xml:space="preserve"> mied</w:t>
      </w:r>
      <w:r w:rsidR="00E51E88">
        <w:rPr>
          <w:rFonts w:ascii="Times New Roman" w:hAnsi="Times New Roman" w:cs="Times New Roman"/>
          <w:color w:val="26272C"/>
          <w:sz w:val="24"/>
          <w:szCs w:val="24"/>
        </w:rPr>
        <w:t>ź</w:t>
      </w:r>
      <w:r w:rsidR="006F7C18" w:rsidRPr="0046533A">
        <w:rPr>
          <w:rFonts w:ascii="Times New Roman" w:hAnsi="Times New Roman" w:cs="Times New Roman"/>
          <w:color w:val="26272C"/>
          <w:sz w:val="24"/>
          <w:szCs w:val="24"/>
        </w:rPr>
        <w:t xml:space="preserve"> pozostaje kluczowa dla globalnej transformacji energetycznej ze względu na jej wysoką przewodność i szerokie zastosowanie w kablach elektrycznych. Chińska firma </w:t>
      </w:r>
      <w:proofErr w:type="spellStart"/>
      <w:r w:rsidR="006F7C18" w:rsidRPr="0046533A">
        <w:rPr>
          <w:rFonts w:ascii="Times New Roman" w:hAnsi="Times New Roman" w:cs="Times New Roman"/>
          <w:color w:val="26272C"/>
          <w:sz w:val="24"/>
          <w:szCs w:val="24"/>
        </w:rPr>
        <w:t>State</w:t>
      </w:r>
      <w:proofErr w:type="spellEnd"/>
      <w:r w:rsidR="006F7C18" w:rsidRPr="0046533A">
        <w:rPr>
          <w:rFonts w:ascii="Times New Roman" w:hAnsi="Times New Roman" w:cs="Times New Roman"/>
          <w:color w:val="26272C"/>
          <w:sz w:val="24"/>
          <w:szCs w:val="24"/>
        </w:rPr>
        <w:t xml:space="preserve"> </w:t>
      </w:r>
      <w:proofErr w:type="spellStart"/>
      <w:r w:rsidR="006F7C18" w:rsidRPr="0046533A">
        <w:rPr>
          <w:rFonts w:ascii="Times New Roman" w:hAnsi="Times New Roman" w:cs="Times New Roman"/>
          <w:color w:val="26272C"/>
          <w:sz w:val="24"/>
          <w:szCs w:val="24"/>
        </w:rPr>
        <w:t>Grid</w:t>
      </w:r>
      <w:proofErr w:type="spellEnd"/>
      <w:r w:rsidR="006F7C18" w:rsidRPr="0046533A">
        <w:rPr>
          <w:rFonts w:ascii="Times New Roman" w:hAnsi="Times New Roman" w:cs="Times New Roman"/>
          <w:color w:val="26272C"/>
          <w:sz w:val="24"/>
          <w:szCs w:val="24"/>
        </w:rPr>
        <w:t xml:space="preserve"> Corporation, główny konsument miedzi, poniosła w tym roku rekordowe wydatki w wysokości 600 miliardów juanów. Inwestycja ta podkreśla kluczową rolę miedzi w przejściu na energię odnawialną i rozwój infrastruktury, co może zapewnić długoterminowe wsparcie cen miedzi.</w:t>
      </w:r>
    </w:p>
    <w:p w14:paraId="22A42FFD" w14:textId="77777777" w:rsidR="00B037F1" w:rsidRPr="0046533A" w:rsidRDefault="00B037F1" w:rsidP="0046533A">
      <w:pPr>
        <w:pStyle w:val="Nagwek2"/>
        <w:rPr>
          <w:b/>
          <w:bCs/>
        </w:rPr>
      </w:pPr>
      <w:r w:rsidRPr="0046533A">
        <w:rPr>
          <w:b/>
          <w:bCs/>
        </w:rPr>
        <w:t>WALUTY</w:t>
      </w:r>
    </w:p>
    <w:p w14:paraId="0F303E23" w14:textId="77777777" w:rsidR="00E51E88" w:rsidRDefault="0037103F" w:rsidP="0046533A">
      <w:pPr>
        <w:rPr>
          <w:rFonts w:ascii="Times New Roman" w:hAnsi="Times New Roman" w:cs="Times New Roman"/>
          <w:color w:val="26272C"/>
          <w:sz w:val="24"/>
          <w:szCs w:val="24"/>
        </w:rPr>
      </w:pPr>
      <w:r w:rsidRPr="0046533A">
        <w:rPr>
          <w:rFonts w:ascii="Times New Roman" w:hAnsi="Times New Roman" w:cs="Times New Roman"/>
          <w:color w:val="26272C"/>
          <w:sz w:val="24"/>
          <w:szCs w:val="24"/>
        </w:rPr>
        <w:t>S</w:t>
      </w:r>
      <w:r w:rsidR="00FD20C3" w:rsidRPr="0046533A">
        <w:rPr>
          <w:rFonts w:ascii="Times New Roman" w:hAnsi="Times New Roman" w:cs="Times New Roman"/>
          <w:color w:val="26272C"/>
          <w:sz w:val="24"/>
          <w:szCs w:val="24"/>
        </w:rPr>
        <w:t>kok jena</w:t>
      </w:r>
      <w:r w:rsidR="00A64381" w:rsidRPr="0046533A">
        <w:rPr>
          <w:rFonts w:ascii="Times New Roman" w:hAnsi="Times New Roman" w:cs="Times New Roman"/>
          <w:color w:val="26272C"/>
          <w:sz w:val="24"/>
          <w:szCs w:val="24"/>
        </w:rPr>
        <w:t xml:space="preserve"> - Bank centralny Japonii podniósł stopy procentowe do 0,25% (spodziewano się pozostawienia stóp procentowych bez zmian) oraz zredukował o połowę program skupu obligacji rządowych. Tym samym </w:t>
      </w:r>
      <w:r w:rsidR="00A64381" w:rsidRPr="00E51E88">
        <w:rPr>
          <w:rFonts w:ascii="Times New Roman" w:hAnsi="Times New Roman" w:cs="Times New Roman"/>
          <w:b/>
          <w:bCs/>
          <w:color w:val="26272C"/>
          <w:sz w:val="24"/>
          <w:szCs w:val="24"/>
        </w:rPr>
        <w:t>stopy procentowe w Japonii są po tym ruchu najwyżej od 2009 roku</w:t>
      </w:r>
      <w:r w:rsidR="00A64381" w:rsidRPr="0046533A">
        <w:rPr>
          <w:rFonts w:ascii="Times New Roman" w:hAnsi="Times New Roman" w:cs="Times New Roman"/>
          <w:color w:val="26272C"/>
          <w:sz w:val="24"/>
          <w:szCs w:val="24"/>
        </w:rPr>
        <w:t>.</w:t>
      </w:r>
    </w:p>
    <w:p w14:paraId="695D21A8" w14:textId="34E11A20" w:rsidR="00E51E88" w:rsidRDefault="00A64381" w:rsidP="0046533A">
      <w:pPr>
        <w:rPr>
          <w:rFonts w:ascii="Times New Roman" w:hAnsi="Times New Roman" w:cs="Times New Roman"/>
          <w:color w:val="26272C"/>
          <w:sz w:val="24"/>
          <w:szCs w:val="24"/>
        </w:rPr>
      </w:pPr>
      <w:r w:rsidRPr="0046533A">
        <w:rPr>
          <w:rFonts w:ascii="Times New Roman" w:hAnsi="Times New Roman" w:cs="Times New Roman"/>
          <w:color w:val="26272C"/>
          <w:sz w:val="24"/>
          <w:szCs w:val="24"/>
        </w:rPr>
        <w:t>Na rynkach aktywów ryzykownych zapachniało korektą. N</w:t>
      </w:r>
      <w:r w:rsidR="00FD20C3" w:rsidRPr="0046533A">
        <w:rPr>
          <w:rFonts w:ascii="Times New Roman" w:hAnsi="Times New Roman" w:cs="Times New Roman"/>
          <w:color w:val="26272C"/>
          <w:sz w:val="24"/>
          <w:szCs w:val="24"/>
        </w:rPr>
        <w:t xml:space="preserve">egatywne informacje z Chin, złamanie cen </w:t>
      </w:r>
      <w:r w:rsidR="0037103F" w:rsidRPr="0046533A">
        <w:rPr>
          <w:rFonts w:ascii="Times New Roman" w:hAnsi="Times New Roman" w:cs="Times New Roman"/>
          <w:color w:val="26272C"/>
          <w:sz w:val="24"/>
          <w:szCs w:val="24"/>
        </w:rPr>
        <w:t>surowców</w:t>
      </w:r>
      <w:r w:rsidR="00FD20C3" w:rsidRPr="0046533A">
        <w:rPr>
          <w:rFonts w:ascii="Times New Roman" w:hAnsi="Times New Roman" w:cs="Times New Roman"/>
          <w:color w:val="26272C"/>
          <w:sz w:val="24"/>
          <w:szCs w:val="24"/>
        </w:rPr>
        <w:t xml:space="preserve"> oraz symptomy, że poprawa koniunktury w strefie euro traci impet tworzą skrajnie nieprzychylne środowisko dla rynków wschodzących.</w:t>
      </w:r>
      <w:r w:rsidR="0043181D" w:rsidRPr="0046533A">
        <w:rPr>
          <w:rFonts w:ascii="Times New Roman" w:hAnsi="Times New Roman" w:cs="Times New Roman"/>
          <w:color w:val="26272C"/>
          <w:sz w:val="24"/>
          <w:szCs w:val="24"/>
        </w:rPr>
        <w:t xml:space="preserve"> Pod szczególną presją jest meksykańskie peso, a w gronie G-10 dolar australijski. </w:t>
      </w:r>
      <w:r w:rsidR="00FD20C3" w:rsidRPr="0046533A">
        <w:rPr>
          <w:rFonts w:ascii="Times New Roman" w:hAnsi="Times New Roman" w:cs="Times New Roman"/>
          <w:color w:val="26272C"/>
          <w:sz w:val="24"/>
          <w:szCs w:val="24"/>
        </w:rPr>
        <w:t xml:space="preserve">W niekorzystnych okolicznościach </w:t>
      </w:r>
      <w:r w:rsidR="00FD20C3" w:rsidRPr="00E51E88">
        <w:rPr>
          <w:rFonts w:ascii="Times New Roman" w:hAnsi="Times New Roman" w:cs="Times New Roman"/>
          <w:b/>
          <w:bCs/>
          <w:color w:val="26272C"/>
          <w:sz w:val="24"/>
          <w:szCs w:val="24"/>
        </w:rPr>
        <w:t>złoty jest relatywnie silny</w:t>
      </w:r>
      <w:r w:rsidR="0037103F" w:rsidRPr="00E51E88">
        <w:rPr>
          <w:rFonts w:ascii="Times New Roman" w:hAnsi="Times New Roman" w:cs="Times New Roman"/>
          <w:b/>
          <w:bCs/>
          <w:color w:val="26272C"/>
          <w:sz w:val="24"/>
          <w:szCs w:val="24"/>
        </w:rPr>
        <w:t>, bo nie zmieniło się nic w determinacji RPP do utrzymania stóp procentowych na niezmienionym poziomie</w:t>
      </w:r>
      <w:r w:rsidR="0037103F" w:rsidRPr="0046533A">
        <w:rPr>
          <w:rFonts w:ascii="Times New Roman" w:hAnsi="Times New Roman" w:cs="Times New Roman"/>
          <w:color w:val="26272C"/>
          <w:sz w:val="24"/>
          <w:szCs w:val="24"/>
        </w:rPr>
        <w:t>.</w:t>
      </w:r>
      <w:r w:rsidR="00FD2B27" w:rsidRPr="0046533A">
        <w:rPr>
          <w:rFonts w:ascii="Times New Roman" w:hAnsi="Times New Roman" w:cs="Times New Roman"/>
          <w:color w:val="26272C"/>
          <w:sz w:val="24"/>
          <w:szCs w:val="24"/>
        </w:rPr>
        <w:t xml:space="preserve"> Drugi argument za złotówką to pieniądze z KPO. Pierwszy z wniosków - jak podano - ma opiewać ma prawie 5,73 mld euro, drugi na 4,54 mld euro, trzeci na 3,55 mld euro, a czwarty na niespełna 4,34 mld euro. Łącznie więc wnioski, jakie mają zostać złożone w tym roku, będą dotyczyć kwoty 18,15 mld euro. To duże argumenty za aprecjacj</w:t>
      </w:r>
      <w:r w:rsidR="00496B9F" w:rsidRPr="0046533A">
        <w:rPr>
          <w:rFonts w:ascii="Times New Roman" w:hAnsi="Times New Roman" w:cs="Times New Roman"/>
          <w:color w:val="26272C"/>
          <w:sz w:val="24"/>
          <w:szCs w:val="24"/>
        </w:rPr>
        <w:t>ą</w:t>
      </w:r>
      <w:r w:rsidR="00FD2B27" w:rsidRPr="0046533A">
        <w:rPr>
          <w:rFonts w:ascii="Times New Roman" w:hAnsi="Times New Roman" w:cs="Times New Roman"/>
          <w:color w:val="26272C"/>
          <w:sz w:val="24"/>
          <w:szCs w:val="24"/>
        </w:rPr>
        <w:t xml:space="preserve"> złotówki</w:t>
      </w:r>
      <w:r w:rsidR="00E51E88">
        <w:rPr>
          <w:rFonts w:ascii="Times New Roman" w:hAnsi="Times New Roman" w:cs="Times New Roman"/>
          <w:color w:val="26272C"/>
          <w:sz w:val="24"/>
          <w:szCs w:val="24"/>
        </w:rPr>
        <w:t>.</w:t>
      </w:r>
    </w:p>
    <w:p w14:paraId="5F98951B" w14:textId="286E137E" w:rsidR="00496B9F" w:rsidRPr="0046533A" w:rsidRDefault="00FD2B27" w:rsidP="0046533A">
      <w:pPr>
        <w:rPr>
          <w:rFonts w:ascii="Times New Roman" w:hAnsi="Times New Roman" w:cs="Times New Roman"/>
          <w:color w:val="26272C"/>
          <w:sz w:val="24"/>
          <w:szCs w:val="24"/>
        </w:rPr>
      </w:pPr>
      <w:r w:rsidRPr="0046533A">
        <w:rPr>
          <w:rFonts w:ascii="Times New Roman" w:hAnsi="Times New Roman" w:cs="Times New Roman"/>
          <w:color w:val="26272C"/>
          <w:sz w:val="24"/>
          <w:szCs w:val="24"/>
        </w:rPr>
        <w:t xml:space="preserve">Kampania wyborcza w USA zmieniła oblicze. Donald </w:t>
      </w:r>
      <w:proofErr w:type="spellStart"/>
      <w:r w:rsidRPr="0046533A">
        <w:rPr>
          <w:rFonts w:ascii="Times New Roman" w:hAnsi="Times New Roman" w:cs="Times New Roman"/>
          <w:color w:val="26272C"/>
          <w:sz w:val="24"/>
          <w:szCs w:val="24"/>
        </w:rPr>
        <w:t>Trump</w:t>
      </w:r>
      <w:proofErr w:type="spellEnd"/>
      <w:r w:rsidRPr="0046533A">
        <w:rPr>
          <w:rFonts w:ascii="Times New Roman" w:hAnsi="Times New Roman" w:cs="Times New Roman"/>
          <w:color w:val="26272C"/>
          <w:sz w:val="24"/>
          <w:szCs w:val="24"/>
        </w:rPr>
        <w:t xml:space="preserve"> zaczął się wypowiadać znacznie bardziej przychylnie na temat </w:t>
      </w:r>
      <w:proofErr w:type="spellStart"/>
      <w:r w:rsidRPr="0046533A">
        <w:rPr>
          <w:rFonts w:ascii="Times New Roman" w:hAnsi="Times New Roman" w:cs="Times New Roman"/>
          <w:color w:val="26272C"/>
          <w:sz w:val="24"/>
          <w:szCs w:val="24"/>
        </w:rPr>
        <w:t>kryptowalut</w:t>
      </w:r>
      <w:proofErr w:type="spellEnd"/>
      <w:r w:rsidRPr="0046533A">
        <w:rPr>
          <w:rFonts w:ascii="Times New Roman" w:hAnsi="Times New Roman" w:cs="Times New Roman"/>
          <w:color w:val="26272C"/>
          <w:sz w:val="24"/>
          <w:szCs w:val="24"/>
        </w:rPr>
        <w:t xml:space="preserve">. W rezultacie zaczyna się malować obraz </w:t>
      </w:r>
      <w:r w:rsidR="00496B9F" w:rsidRPr="0046533A">
        <w:rPr>
          <w:rFonts w:ascii="Times New Roman" w:hAnsi="Times New Roman" w:cs="Times New Roman"/>
          <w:color w:val="26272C"/>
          <w:sz w:val="24"/>
          <w:szCs w:val="24"/>
        </w:rPr>
        <w:t>r</w:t>
      </w:r>
      <w:r w:rsidRPr="0046533A">
        <w:rPr>
          <w:rFonts w:ascii="Times New Roman" w:hAnsi="Times New Roman" w:cs="Times New Roman"/>
          <w:color w:val="26272C"/>
          <w:sz w:val="24"/>
          <w:szCs w:val="24"/>
        </w:rPr>
        <w:t xml:space="preserve">epublikanów, sprzyjających środowisku </w:t>
      </w:r>
      <w:proofErr w:type="spellStart"/>
      <w:r w:rsidRPr="0046533A">
        <w:rPr>
          <w:rFonts w:ascii="Times New Roman" w:hAnsi="Times New Roman" w:cs="Times New Roman"/>
          <w:color w:val="26272C"/>
          <w:sz w:val="24"/>
          <w:szCs w:val="24"/>
        </w:rPr>
        <w:t>kryptowalutowemu</w:t>
      </w:r>
      <w:proofErr w:type="spellEnd"/>
      <w:r w:rsidRPr="0046533A">
        <w:rPr>
          <w:rFonts w:ascii="Times New Roman" w:hAnsi="Times New Roman" w:cs="Times New Roman"/>
          <w:color w:val="26272C"/>
          <w:sz w:val="24"/>
          <w:szCs w:val="24"/>
        </w:rPr>
        <w:t xml:space="preserve"> oraz </w:t>
      </w:r>
      <w:r w:rsidR="00496B9F" w:rsidRPr="0046533A">
        <w:rPr>
          <w:rFonts w:ascii="Times New Roman" w:hAnsi="Times New Roman" w:cs="Times New Roman"/>
          <w:color w:val="26272C"/>
          <w:sz w:val="24"/>
          <w:szCs w:val="24"/>
        </w:rPr>
        <w:t>d</w:t>
      </w:r>
      <w:r w:rsidRPr="0046533A">
        <w:rPr>
          <w:rFonts w:ascii="Times New Roman" w:hAnsi="Times New Roman" w:cs="Times New Roman"/>
          <w:color w:val="26272C"/>
          <w:sz w:val="24"/>
          <w:szCs w:val="24"/>
        </w:rPr>
        <w:t xml:space="preserve">emokratów po drugiej stronie. Część komentatorów stara się nawet łączyć spadek  ceny </w:t>
      </w:r>
      <w:proofErr w:type="spellStart"/>
      <w:r w:rsidRPr="0046533A">
        <w:rPr>
          <w:rFonts w:ascii="Times New Roman" w:hAnsi="Times New Roman" w:cs="Times New Roman"/>
          <w:color w:val="26272C"/>
          <w:sz w:val="24"/>
          <w:szCs w:val="24"/>
        </w:rPr>
        <w:t>bitcoina</w:t>
      </w:r>
      <w:proofErr w:type="spellEnd"/>
      <w:r w:rsidRPr="0046533A">
        <w:rPr>
          <w:rFonts w:ascii="Times New Roman" w:hAnsi="Times New Roman" w:cs="Times New Roman"/>
          <w:color w:val="26272C"/>
          <w:sz w:val="24"/>
          <w:szCs w:val="24"/>
        </w:rPr>
        <w:t xml:space="preserve"> z niemal 70 000 do 67 000 z odrabianiem przez </w:t>
      </w:r>
      <w:proofErr w:type="spellStart"/>
      <w:r w:rsidRPr="0046533A">
        <w:rPr>
          <w:rFonts w:ascii="Times New Roman" w:hAnsi="Times New Roman" w:cs="Times New Roman"/>
          <w:color w:val="26272C"/>
          <w:sz w:val="24"/>
          <w:szCs w:val="24"/>
        </w:rPr>
        <w:t>Kamalę</w:t>
      </w:r>
      <w:proofErr w:type="spellEnd"/>
      <w:r w:rsidRPr="0046533A">
        <w:rPr>
          <w:rFonts w:ascii="Times New Roman" w:hAnsi="Times New Roman" w:cs="Times New Roman"/>
          <w:color w:val="26272C"/>
          <w:sz w:val="24"/>
          <w:szCs w:val="24"/>
        </w:rPr>
        <w:t xml:space="preserve"> Harris strat w sondażach. Z drugiej strony pojawia się </w:t>
      </w:r>
      <w:r w:rsidRPr="00E51E88">
        <w:rPr>
          <w:rFonts w:ascii="Times New Roman" w:hAnsi="Times New Roman" w:cs="Times New Roman"/>
          <w:b/>
          <w:bCs/>
          <w:color w:val="26272C"/>
          <w:sz w:val="24"/>
          <w:szCs w:val="24"/>
        </w:rPr>
        <w:t xml:space="preserve">kwestia upłynnienia części </w:t>
      </w:r>
      <w:proofErr w:type="spellStart"/>
      <w:r w:rsidRPr="00E51E88">
        <w:rPr>
          <w:rFonts w:ascii="Times New Roman" w:hAnsi="Times New Roman" w:cs="Times New Roman"/>
          <w:b/>
          <w:bCs/>
          <w:color w:val="26272C"/>
          <w:sz w:val="24"/>
          <w:szCs w:val="24"/>
        </w:rPr>
        <w:t>bitcoinów</w:t>
      </w:r>
      <w:proofErr w:type="spellEnd"/>
      <w:r w:rsidRPr="0046533A">
        <w:rPr>
          <w:rFonts w:ascii="Times New Roman" w:hAnsi="Times New Roman" w:cs="Times New Roman"/>
          <w:color w:val="26272C"/>
          <w:sz w:val="24"/>
          <w:szCs w:val="24"/>
        </w:rPr>
        <w:t xml:space="preserve"> posiadanych przez USA. Z portfeli zajętych po giełdzie </w:t>
      </w:r>
      <w:proofErr w:type="spellStart"/>
      <w:r w:rsidRPr="0046533A">
        <w:rPr>
          <w:rFonts w:ascii="Times New Roman" w:hAnsi="Times New Roman" w:cs="Times New Roman"/>
          <w:color w:val="26272C"/>
          <w:sz w:val="24"/>
          <w:szCs w:val="24"/>
        </w:rPr>
        <w:t>Silk</w:t>
      </w:r>
      <w:proofErr w:type="spellEnd"/>
      <w:r w:rsidRPr="0046533A">
        <w:rPr>
          <w:rFonts w:ascii="Times New Roman" w:hAnsi="Times New Roman" w:cs="Times New Roman"/>
          <w:color w:val="26272C"/>
          <w:sz w:val="24"/>
          <w:szCs w:val="24"/>
        </w:rPr>
        <w:t xml:space="preserve"> Road wytransferowano równowartość prawie 2 mld USD. Tak duży jednorazowy pakiet trafiający na rynek, mógłby doprowadzić do znacznie głębszej korekty niż obecne 3 000 dolarów. </w:t>
      </w:r>
      <w:proofErr w:type="spellStart"/>
      <w:r w:rsidR="00496B9F" w:rsidRPr="00E51E88">
        <w:rPr>
          <w:rFonts w:ascii="Times New Roman" w:hAnsi="Times New Roman" w:cs="Times New Roman"/>
          <w:b/>
          <w:bCs/>
          <w:color w:val="26272C"/>
          <w:sz w:val="24"/>
          <w:szCs w:val="24"/>
        </w:rPr>
        <w:t>Trump</w:t>
      </w:r>
      <w:proofErr w:type="spellEnd"/>
      <w:r w:rsidR="00496B9F" w:rsidRPr="00E51E88">
        <w:rPr>
          <w:rFonts w:ascii="Times New Roman" w:hAnsi="Times New Roman" w:cs="Times New Roman"/>
          <w:b/>
          <w:bCs/>
          <w:color w:val="26272C"/>
          <w:sz w:val="24"/>
          <w:szCs w:val="24"/>
        </w:rPr>
        <w:t xml:space="preserve"> zapowiada obniżenie podatków, co jest interpretowane jako korzystne dla gospodarki, ale z drugiej strony ewidentnie proinflacyjne</w:t>
      </w:r>
      <w:r w:rsidR="00496B9F" w:rsidRPr="0046533A">
        <w:rPr>
          <w:rFonts w:ascii="Times New Roman" w:hAnsi="Times New Roman" w:cs="Times New Roman"/>
          <w:color w:val="26272C"/>
          <w:sz w:val="24"/>
          <w:szCs w:val="24"/>
        </w:rPr>
        <w:t xml:space="preserve">. To może zmniejszyć pole </w:t>
      </w:r>
      <w:proofErr w:type="spellStart"/>
      <w:r w:rsidR="00496B9F" w:rsidRPr="0046533A">
        <w:rPr>
          <w:rFonts w:ascii="Times New Roman" w:hAnsi="Times New Roman" w:cs="Times New Roman"/>
          <w:color w:val="26272C"/>
          <w:sz w:val="24"/>
          <w:szCs w:val="24"/>
        </w:rPr>
        <w:t>FEDu</w:t>
      </w:r>
      <w:proofErr w:type="spellEnd"/>
      <w:r w:rsidR="00496B9F" w:rsidRPr="0046533A">
        <w:rPr>
          <w:rFonts w:ascii="Times New Roman" w:hAnsi="Times New Roman" w:cs="Times New Roman"/>
          <w:color w:val="26272C"/>
          <w:sz w:val="24"/>
          <w:szCs w:val="24"/>
        </w:rPr>
        <w:t xml:space="preserve"> do obniżki stóp procentowych, a to szansa dla dolara. Póki co, mamy sytuację w której we wrześniu wejdziemy w cykl obniżek w USA a to asumpt do presji na główną walutę.</w:t>
      </w:r>
      <w:r w:rsidR="00A64381" w:rsidRPr="0046533A">
        <w:rPr>
          <w:rFonts w:ascii="Times New Roman" w:hAnsi="Times New Roman" w:cs="Times New Roman"/>
          <w:color w:val="26272C"/>
          <w:sz w:val="24"/>
          <w:szCs w:val="24"/>
        </w:rPr>
        <w:t xml:space="preserve"> </w:t>
      </w:r>
    </w:p>
    <w:p w14:paraId="13668FA0" w14:textId="77777777" w:rsidR="0046533A" w:rsidRDefault="0046533A" w:rsidP="0046533A">
      <w:pPr>
        <w:rPr>
          <w:rFonts w:ascii="Times New Roman" w:hAnsi="Times New Roman" w:cs="Times New Roman"/>
          <w:sz w:val="24"/>
          <w:szCs w:val="24"/>
        </w:rPr>
      </w:pPr>
    </w:p>
    <w:p w14:paraId="43581483" w14:textId="2CBE1634" w:rsidR="0046533A" w:rsidRPr="0046533A" w:rsidRDefault="0046533A" w:rsidP="0046533A">
      <w:pPr>
        <w:rPr>
          <w:rFonts w:ascii="Times New Roman" w:hAnsi="Times New Roman" w:cs="Times New Roman"/>
          <w:sz w:val="24"/>
          <w:szCs w:val="24"/>
        </w:rPr>
      </w:pPr>
      <w:r w:rsidRPr="0046533A">
        <w:rPr>
          <w:rFonts w:ascii="Times New Roman" w:hAnsi="Times New Roman" w:cs="Times New Roman"/>
          <w:sz w:val="24"/>
          <w:szCs w:val="24"/>
        </w:rPr>
        <w:t>Marcin Lau</w:t>
      </w:r>
    </w:p>
    <w:p w14:paraId="36D5FD91" w14:textId="5BF93642" w:rsidR="0046533A" w:rsidRPr="0046533A" w:rsidRDefault="0046533A" w:rsidP="0046533A">
      <w:pPr>
        <w:rPr>
          <w:rFonts w:ascii="Times New Roman" w:hAnsi="Times New Roman" w:cs="Times New Roman"/>
          <w:sz w:val="24"/>
          <w:szCs w:val="24"/>
        </w:rPr>
      </w:pPr>
      <w:r w:rsidRPr="0046533A">
        <w:rPr>
          <w:rFonts w:ascii="Times New Roman" w:hAnsi="Times New Roman" w:cs="Times New Roman"/>
          <w:sz w:val="24"/>
          <w:szCs w:val="24"/>
        </w:rPr>
        <w:lastRenderedPageBreak/>
        <w:t xml:space="preserve">Główny analityk Phinance S.A. </w:t>
      </w:r>
    </w:p>
    <w:p w14:paraId="6D1067A3" w14:textId="77777777" w:rsidR="0046533A" w:rsidRPr="0046533A" w:rsidRDefault="0046533A" w:rsidP="0046533A">
      <w:pPr>
        <w:rPr>
          <w:rFonts w:ascii="Times New Roman" w:hAnsi="Times New Roman" w:cs="Times New Roman"/>
          <w:sz w:val="24"/>
          <w:szCs w:val="24"/>
        </w:rPr>
      </w:pPr>
      <w:r w:rsidRPr="0046533A">
        <w:rPr>
          <w:rFonts w:ascii="Times New Roman" w:hAnsi="Times New Roman" w:cs="Times New Roman"/>
          <w:noProof/>
          <w:sz w:val="24"/>
          <w:szCs w:val="24"/>
        </w:rPr>
        <w:drawing>
          <wp:inline distT="0" distB="0" distL="0" distR="0" wp14:anchorId="19C45598" wp14:editId="1C145F85">
            <wp:extent cx="2926080" cy="934477"/>
            <wp:effectExtent l="0" t="0" r="7620" b="0"/>
            <wp:docPr id="67875359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68348" cy="947976"/>
                    </a:xfrm>
                    <a:prstGeom prst="rect">
                      <a:avLst/>
                    </a:prstGeom>
                    <a:noFill/>
                    <a:ln>
                      <a:noFill/>
                    </a:ln>
                  </pic:spPr>
                </pic:pic>
              </a:graphicData>
            </a:graphic>
          </wp:inline>
        </w:drawing>
      </w:r>
    </w:p>
    <w:p w14:paraId="2964C41D" w14:textId="77777777" w:rsidR="0046533A" w:rsidRPr="0046533A" w:rsidRDefault="0046533A" w:rsidP="0046533A">
      <w:pPr>
        <w:rPr>
          <w:rFonts w:cstheme="minorHAnsi"/>
        </w:rPr>
      </w:pPr>
      <w:r w:rsidRPr="0046533A">
        <w:rPr>
          <w:rFonts w:cstheme="minorHAnsi"/>
        </w:rPr>
        <w:t>Powyższy komentarz nie jest rekomendacją w rozumieniu Rozporządzenia Ministra Finansów z 19 października 2005 roku. Został on sporządzony w celach informacyjnych i nie powinien stanowić podstawy do podejmowania decyzji inwestycyjnych. Ani autor ich opracowania, ani Phinance S.A., nie ponoszą odpowiedzialności za decyzje inwestycyjne podjęte na podstawie informacji zawartych w niniejszym komentarzu. Kopiowanie bądź powielanie niniejszego opracowania bez podania źródła jest niezgodne z prawem.</w:t>
      </w:r>
    </w:p>
    <w:p w14:paraId="667336F6" w14:textId="77777777" w:rsidR="0046533A" w:rsidRPr="0046533A" w:rsidRDefault="0046533A" w:rsidP="0046533A">
      <w:pPr>
        <w:pStyle w:val="articlebodyblock"/>
        <w:rPr>
          <w:color w:val="26272C"/>
        </w:rPr>
      </w:pPr>
    </w:p>
    <w:sectPr w:rsidR="0046533A" w:rsidRPr="004653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9D551A"/>
    <w:multiLevelType w:val="multilevel"/>
    <w:tmpl w:val="07C09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425D3B"/>
    <w:multiLevelType w:val="multilevel"/>
    <w:tmpl w:val="D3700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3646499">
    <w:abstractNumId w:val="0"/>
  </w:num>
  <w:num w:numId="2" w16cid:durableId="2103865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29"/>
    <w:rsid w:val="000300F1"/>
    <w:rsid w:val="000742F8"/>
    <w:rsid w:val="00074E08"/>
    <w:rsid w:val="0009514A"/>
    <w:rsid w:val="00097CAA"/>
    <w:rsid w:val="000E0BB0"/>
    <w:rsid w:val="00117547"/>
    <w:rsid w:val="0018112D"/>
    <w:rsid w:val="00183FA4"/>
    <w:rsid w:val="00200B6E"/>
    <w:rsid w:val="00236C1B"/>
    <w:rsid w:val="00265A1B"/>
    <w:rsid w:val="002916AF"/>
    <w:rsid w:val="002C4B30"/>
    <w:rsid w:val="003340FE"/>
    <w:rsid w:val="00340620"/>
    <w:rsid w:val="003442C8"/>
    <w:rsid w:val="0037103F"/>
    <w:rsid w:val="003B7B14"/>
    <w:rsid w:val="0043181D"/>
    <w:rsid w:val="0044443A"/>
    <w:rsid w:val="00450767"/>
    <w:rsid w:val="00453720"/>
    <w:rsid w:val="004541DF"/>
    <w:rsid w:val="0046533A"/>
    <w:rsid w:val="004841F5"/>
    <w:rsid w:val="00490DE1"/>
    <w:rsid w:val="00496B9F"/>
    <w:rsid w:val="004971BF"/>
    <w:rsid w:val="004973CE"/>
    <w:rsid w:val="004C6F42"/>
    <w:rsid w:val="004D003E"/>
    <w:rsid w:val="00525215"/>
    <w:rsid w:val="00537E35"/>
    <w:rsid w:val="005711D2"/>
    <w:rsid w:val="00573D9C"/>
    <w:rsid w:val="005823E0"/>
    <w:rsid w:val="005A7D49"/>
    <w:rsid w:val="005D5D1E"/>
    <w:rsid w:val="00657AE3"/>
    <w:rsid w:val="006C6C68"/>
    <w:rsid w:val="006D0B7E"/>
    <w:rsid w:val="006D493D"/>
    <w:rsid w:val="006F6B85"/>
    <w:rsid w:val="006F7C18"/>
    <w:rsid w:val="0070646C"/>
    <w:rsid w:val="00713324"/>
    <w:rsid w:val="00717F34"/>
    <w:rsid w:val="00730F57"/>
    <w:rsid w:val="00751CF1"/>
    <w:rsid w:val="0076020F"/>
    <w:rsid w:val="00774BB0"/>
    <w:rsid w:val="00793EA8"/>
    <w:rsid w:val="007B0261"/>
    <w:rsid w:val="00840A1E"/>
    <w:rsid w:val="0084776E"/>
    <w:rsid w:val="008A4016"/>
    <w:rsid w:val="008B246E"/>
    <w:rsid w:val="008E15A6"/>
    <w:rsid w:val="00911DC7"/>
    <w:rsid w:val="00915A2B"/>
    <w:rsid w:val="009658D3"/>
    <w:rsid w:val="009716E4"/>
    <w:rsid w:val="00A06B25"/>
    <w:rsid w:val="00A13814"/>
    <w:rsid w:val="00A64381"/>
    <w:rsid w:val="00A7458E"/>
    <w:rsid w:val="00AC693B"/>
    <w:rsid w:val="00B037F1"/>
    <w:rsid w:val="00B21007"/>
    <w:rsid w:val="00B22304"/>
    <w:rsid w:val="00B26BA5"/>
    <w:rsid w:val="00B832EE"/>
    <w:rsid w:val="00BD5E2D"/>
    <w:rsid w:val="00BF3B4B"/>
    <w:rsid w:val="00C92DA0"/>
    <w:rsid w:val="00CD0C89"/>
    <w:rsid w:val="00CF01B8"/>
    <w:rsid w:val="00D05F42"/>
    <w:rsid w:val="00D53415"/>
    <w:rsid w:val="00D6330F"/>
    <w:rsid w:val="00D716EB"/>
    <w:rsid w:val="00DD3DF4"/>
    <w:rsid w:val="00DF009B"/>
    <w:rsid w:val="00E04B90"/>
    <w:rsid w:val="00E04F62"/>
    <w:rsid w:val="00E1508E"/>
    <w:rsid w:val="00E4367F"/>
    <w:rsid w:val="00E51E88"/>
    <w:rsid w:val="00E54234"/>
    <w:rsid w:val="00E87D15"/>
    <w:rsid w:val="00EB19E4"/>
    <w:rsid w:val="00EE28C5"/>
    <w:rsid w:val="00EE3CEC"/>
    <w:rsid w:val="00F250CE"/>
    <w:rsid w:val="00F41029"/>
    <w:rsid w:val="00F52DE3"/>
    <w:rsid w:val="00F546BB"/>
    <w:rsid w:val="00F76C82"/>
    <w:rsid w:val="00FD20C3"/>
    <w:rsid w:val="00FD2B27"/>
    <w:rsid w:val="00FF46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A3E42"/>
  <w15:chartTrackingRefBased/>
  <w15:docId w15:val="{785033C4-91C1-4916-8326-9B79B502F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uiPriority w:val="9"/>
    <w:unhideWhenUsed/>
    <w:qFormat/>
    <w:rsid w:val="004653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F4102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Pogrubienie">
    <w:name w:val="Strong"/>
    <w:basedOn w:val="Domylnaczcionkaakapitu"/>
    <w:uiPriority w:val="22"/>
    <w:qFormat/>
    <w:rsid w:val="00F41029"/>
    <w:rPr>
      <w:b/>
      <w:bCs/>
    </w:rPr>
  </w:style>
  <w:style w:type="character" w:styleId="Hipercze">
    <w:name w:val="Hyperlink"/>
    <w:basedOn w:val="Domylnaczcionkaakapitu"/>
    <w:uiPriority w:val="99"/>
    <w:semiHidden/>
    <w:unhideWhenUsed/>
    <w:rsid w:val="00F41029"/>
    <w:rPr>
      <w:color w:val="0000FF"/>
      <w:u w:val="single"/>
    </w:rPr>
  </w:style>
  <w:style w:type="character" w:customStyle="1" w:styleId="market-news-single-share-title">
    <w:name w:val="market-news-single-share-title"/>
    <w:basedOn w:val="Domylnaczcionkaakapitu"/>
    <w:rsid w:val="00F41029"/>
  </w:style>
  <w:style w:type="paragraph" w:customStyle="1" w:styleId="articlebodyblock">
    <w:name w:val="articlebodyblock"/>
    <w:basedOn w:val="Normalny"/>
    <w:rsid w:val="00B037F1"/>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markedcontent">
    <w:name w:val="markedcontent"/>
    <w:basedOn w:val="Domylnaczcionkaakapitu"/>
    <w:rsid w:val="00A06B25"/>
  </w:style>
  <w:style w:type="character" w:customStyle="1" w:styleId="lead">
    <w:name w:val="lead"/>
    <w:basedOn w:val="Domylnaczcionkaakapitu"/>
    <w:rsid w:val="000300F1"/>
  </w:style>
  <w:style w:type="character" w:customStyle="1" w:styleId="Nagwek2Znak">
    <w:name w:val="Nagłówek 2 Znak"/>
    <w:basedOn w:val="Domylnaczcionkaakapitu"/>
    <w:link w:val="Nagwek2"/>
    <w:uiPriority w:val="9"/>
    <w:rsid w:val="0046533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118070">
      <w:bodyDiv w:val="1"/>
      <w:marLeft w:val="0"/>
      <w:marRight w:val="0"/>
      <w:marTop w:val="0"/>
      <w:marBottom w:val="0"/>
      <w:divBdr>
        <w:top w:val="none" w:sz="0" w:space="0" w:color="auto"/>
        <w:left w:val="none" w:sz="0" w:space="0" w:color="auto"/>
        <w:bottom w:val="none" w:sz="0" w:space="0" w:color="auto"/>
        <w:right w:val="none" w:sz="0" w:space="0" w:color="auto"/>
      </w:divBdr>
      <w:divsChild>
        <w:div w:id="1077091847">
          <w:marLeft w:val="0"/>
          <w:marRight w:val="0"/>
          <w:marTop w:val="0"/>
          <w:marBottom w:val="0"/>
          <w:divBdr>
            <w:top w:val="none" w:sz="0" w:space="0" w:color="auto"/>
            <w:left w:val="none" w:sz="0" w:space="0" w:color="auto"/>
            <w:bottom w:val="none" w:sz="0" w:space="0" w:color="auto"/>
            <w:right w:val="none" w:sz="0" w:space="0" w:color="auto"/>
          </w:divBdr>
        </w:div>
      </w:divsChild>
    </w:div>
    <w:div w:id="259990072">
      <w:bodyDiv w:val="1"/>
      <w:marLeft w:val="0"/>
      <w:marRight w:val="0"/>
      <w:marTop w:val="0"/>
      <w:marBottom w:val="0"/>
      <w:divBdr>
        <w:top w:val="none" w:sz="0" w:space="0" w:color="auto"/>
        <w:left w:val="none" w:sz="0" w:space="0" w:color="auto"/>
        <w:bottom w:val="none" w:sz="0" w:space="0" w:color="auto"/>
        <w:right w:val="none" w:sz="0" w:space="0" w:color="auto"/>
      </w:divBdr>
      <w:divsChild>
        <w:div w:id="781535143">
          <w:marLeft w:val="0"/>
          <w:marRight w:val="0"/>
          <w:marTop w:val="0"/>
          <w:marBottom w:val="0"/>
          <w:divBdr>
            <w:top w:val="none" w:sz="0" w:space="0" w:color="auto"/>
            <w:left w:val="none" w:sz="0" w:space="0" w:color="auto"/>
            <w:bottom w:val="none" w:sz="0" w:space="0" w:color="auto"/>
            <w:right w:val="none" w:sz="0" w:space="0" w:color="auto"/>
          </w:divBdr>
          <w:divsChild>
            <w:div w:id="1162309811">
              <w:marLeft w:val="0"/>
              <w:marRight w:val="0"/>
              <w:marTop w:val="0"/>
              <w:marBottom w:val="0"/>
              <w:divBdr>
                <w:top w:val="none" w:sz="0" w:space="0" w:color="auto"/>
                <w:left w:val="none" w:sz="0" w:space="0" w:color="auto"/>
                <w:bottom w:val="none" w:sz="0" w:space="0" w:color="auto"/>
                <w:right w:val="none" w:sz="0" w:space="0" w:color="auto"/>
              </w:divBdr>
            </w:div>
          </w:divsChild>
        </w:div>
        <w:div w:id="1153716283">
          <w:marLeft w:val="0"/>
          <w:marRight w:val="0"/>
          <w:marTop w:val="0"/>
          <w:marBottom w:val="0"/>
          <w:divBdr>
            <w:top w:val="none" w:sz="0" w:space="0" w:color="auto"/>
            <w:left w:val="none" w:sz="0" w:space="0" w:color="auto"/>
            <w:bottom w:val="none" w:sz="0" w:space="0" w:color="auto"/>
            <w:right w:val="none" w:sz="0" w:space="0" w:color="auto"/>
          </w:divBdr>
        </w:div>
        <w:div w:id="254898918">
          <w:marLeft w:val="0"/>
          <w:marRight w:val="0"/>
          <w:marTop w:val="0"/>
          <w:marBottom w:val="0"/>
          <w:divBdr>
            <w:top w:val="none" w:sz="0" w:space="0" w:color="auto"/>
            <w:left w:val="none" w:sz="0" w:space="0" w:color="auto"/>
            <w:bottom w:val="none" w:sz="0" w:space="0" w:color="auto"/>
            <w:right w:val="none" w:sz="0" w:space="0" w:color="auto"/>
          </w:divBdr>
        </w:div>
      </w:divsChild>
    </w:div>
    <w:div w:id="371459652">
      <w:bodyDiv w:val="1"/>
      <w:marLeft w:val="0"/>
      <w:marRight w:val="0"/>
      <w:marTop w:val="0"/>
      <w:marBottom w:val="0"/>
      <w:divBdr>
        <w:top w:val="none" w:sz="0" w:space="0" w:color="auto"/>
        <w:left w:val="none" w:sz="0" w:space="0" w:color="auto"/>
        <w:bottom w:val="none" w:sz="0" w:space="0" w:color="auto"/>
        <w:right w:val="none" w:sz="0" w:space="0" w:color="auto"/>
      </w:divBdr>
    </w:div>
    <w:div w:id="413169110">
      <w:bodyDiv w:val="1"/>
      <w:marLeft w:val="0"/>
      <w:marRight w:val="0"/>
      <w:marTop w:val="0"/>
      <w:marBottom w:val="0"/>
      <w:divBdr>
        <w:top w:val="none" w:sz="0" w:space="0" w:color="auto"/>
        <w:left w:val="none" w:sz="0" w:space="0" w:color="auto"/>
        <w:bottom w:val="none" w:sz="0" w:space="0" w:color="auto"/>
        <w:right w:val="none" w:sz="0" w:space="0" w:color="auto"/>
      </w:divBdr>
      <w:divsChild>
        <w:div w:id="1560552354">
          <w:marLeft w:val="0"/>
          <w:marRight w:val="0"/>
          <w:marTop w:val="0"/>
          <w:marBottom w:val="0"/>
          <w:divBdr>
            <w:top w:val="none" w:sz="0" w:space="0" w:color="auto"/>
            <w:left w:val="none" w:sz="0" w:space="0" w:color="auto"/>
            <w:bottom w:val="none" w:sz="0" w:space="0" w:color="auto"/>
            <w:right w:val="none" w:sz="0" w:space="0" w:color="auto"/>
          </w:divBdr>
          <w:divsChild>
            <w:div w:id="140714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1155">
      <w:bodyDiv w:val="1"/>
      <w:marLeft w:val="0"/>
      <w:marRight w:val="0"/>
      <w:marTop w:val="0"/>
      <w:marBottom w:val="0"/>
      <w:divBdr>
        <w:top w:val="none" w:sz="0" w:space="0" w:color="auto"/>
        <w:left w:val="none" w:sz="0" w:space="0" w:color="auto"/>
        <w:bottom w:val="none" w:sz="0" w:space="0" w:color="auto"/>
        <w:right w:val="none" w:sz="0" w:space="0" w:color="auto"/>
      </w:divBdr>
    </w:div>
    <w:div w:id="742607948">
      <w:bodyDiv w:val="1"/>
      <w:marLeft w:val="0"/>
      <w:marRight w:val="0"/>
      <w:marTop w:val="0"/>
      <w:marBottom w:val="0"/>
      <w:divBdr>
        <w:top w:val="none" w:sz="0" w:space="0" w:color="auto"/>
        <w:left w:val="none" w:sz="0" w:space="0" w:color="auto"/>
        <w:bottom w:val="none" w:sz="0" w:space="0" w:color="auto"/>
        <w:right w:val="none" w:sz="0" w:space="0" w:color="auto"/>
      </w:divBdr>
    </w:div>
    <w:div w:id="785927472">
      <w:bodyDiv w:val="1"/>
      <w:marLeft w:val="0"/>
      <w:marRight w:val="0"/>
      <w:marTop w:val="0"/>
      <w:marBottom w:val="0"/>
      <w:divBdr>
        <w:top w:val="none" w:sz="0" w:space="0" w:color="auto"/>
        <w:left w:val="none" w:sz="0" w:space="0" w:color="auto"/>
        <w:bottom w:val="none" w:sz="0" w:space="0" w:color="auto"/>
        <w:right w:val="none" w:sz="0" w:space="0" w:color="auto"/>
      </w:divBdr>
      <w:divsChild>
        <w:div w:id="1840462169">
          <w:marLeft w:val="0"/>
          <w:marRight w:val="0"/>
          <w:marTop w:val="0"/>
          <w:marBottom w:val="0"/>
          <w:divBdr>
            <w:top w:val="none" w:sz="0" w:space="0" w:color="auto"/>
            <w:left w:val="none" w:sz="0" w:space="0" w:color="auto"/>
            <w:bottom w:val="none" w:sz="0" w:space="0" w:color="auto"/>
            <w:right w:val="none" w:sz="0" w:space="0" w:color="auto"/>
          </w:divBdr>
          <w:divsChild>
            <w:div w:id="197578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62330">
      <w:bodyDiv w:val="1"/>
      <w:marLeft w:val="0"/>
      <w:marRight w:val="0"/>
      <w:marTop w:val="0"/>
      <w:marBottom w:val="0"/>
      <w:divBdr>
        <w:top w:val="none" w:sz="0" w:space="0" w:color="auto"/>
        <w:left w:val="none" w:sz="0" w:space="0" w:color="auto"/>
        <w:bottom w:val="none" w:sz="0" w:space="0" w:color="auto"/>
        <w:right w:val="none" w:sz="0" w:space="0" w:color="auto"/>
      </w:divBdr>
    </w:div>
    <w:div w:id="1429154924">
      <w:bodyDiv w:val="1"/>
      <w:marLeft w:val="0"/>
      <w:marRight w:val="0"/>
      <w:marTop w:val="0"/>
      <w:marBottom w:val="0"/>
      <w:divBdr>
        <w:top w:val="none" w:sz="0" w:space="0" w:color="auto"/>
        <w:left w:val="none" w:sz="0" w:space="0" w:color="auto"/>
        <w:bottom w:val="none" w:sz="0" w:space="0" w:color="auto"/>
        <w:right w:val="none" w:sz="0" w:space="0" w:color="auto"/>
      </w:divBdr>
    </w:div>
    <w:div w:id="1593009168">
      <w:bodyDiv w:val="1"/>
      <w:marLeft w:val="0"/>
      <w:marRight w:val="0"/>
      <w:marTop w:val="0"/>
      <w:marBottom w:val="0"/>
      <w:divBdr>
        <w:top w:val="none" w:sz="0" w:space="0" w:color="auto"/>
        <w:left w:val="none" w:sz="0" w:space="0" w:color="auto"/>
        <w:bottom w:val="none" w:sz="0" w:space="0" w:color="auto"/>
        <w:right w:val="none" w:sz="0" w:space="0" w:color="auto"/>
      </w:divBdr>
      <w:divsChild>
        <w:div w:id="622229048">
          <w:marLeft w:val="0"/>
          <w:marRight w:val="0"/>
          <w:marTop w:val="0"/>
          <w:marBottom w:val="0"/>
          <w:divBdr>
            <w:top w:val="none" w:sz="0" w:space="0" w:color="auto"/>
            <w:left w:val="none" w:sz="0" w:space="0" w:color="auto"/>
            <w:bottom w:val="none" w:sz="0" w:space="0" w:color="auto"/>
            <w:right w:val="none" w:sz="0" w:space="0" w:color="auto"/>
          </w:divBdr>
        </w:div>
      </w:divsChild>
    </w:div>
    <w:div w:id="1614633286">
      <w:bodyDiv w:val="1"/>
      <w:marLeft w:val="0"/>
      <w:marRight w:val="0"/>
      <w:marTop w:val="0"/>
      <w:marBottom w:val="0"/>
      <w:divBdr>
        <w:top w:val="none" w:sz="0" w:space="0" w:color="auto"/>
        <w:left w:val="none" w:sz="0" w:space="0" w:color="auto"/>
        <w:bottom w:val="none" w:sz="0" w:space="0" w:color="auto"/>
        <w:right w:val="none" w:sz="0" w:space="0" w:color="auto"/>
      </w:divBdr>
    </w:div>
    <w:div w:id="1818955644">
      <w:bodyDiv w:val="1"/>
      <w:marLeft w:val="0"/>
      <w:marRight w:val="0"/>
      <w:marTop w:val="0"/>
      <w:marBottom w:val="0"/>
      <w:divBdr>
        <w:top w:val="none" w:sz="0" w:space="0" w:color="auto"/>
        <w:left w:val="none" w:sz="0" w:space="0" w:color="auto"/>
        <w:bottom w:val="none" w:sz="0" w:space="0" w:color="auto"/>
        <w:right w:val="none" w:sz="0" w:space="0" w:color="auto"/>
      </w:divBdr>
    </w:div>
    <w:div w:id="1960602652">
      <w:bodyDiv w:val="1"/>
      <w:marLeft w:val="0"/>
      <w:marRight w:val="0"/>
      <w:marTop w:val="0"/>
      <w:marBottom w:val="0"/>
      <w:divBdr>
        <w:top w:val="none" w:sz="0" w:space="0" w:color="auto"/>
        <w:left w:val="none" w:sz="0" w:space="0" w:color="auto"/>
        <w:bottom w:val="none" w:sz="0" w:space="0" w:color="auto"/>
        <w:right w:val="none" w:sz="0" w:space="0" w:color="auto"/>
      </w:divBdr>
    </w:div>
    <w:div w:id="2123302655">
      <w:bodyDiv w:val="1"/>
      <w:marLeft w:val="0"/>
      <w:marRight w:val="0"/>
      <w:marTop w:val="0"/>
      <w:marBottom w:val="0"/>
      <w:divBdr>
        <w:top w:val="none" w:sz="0" w:space="0" w:color="auto"/>
        <w:left w:val="none" w:sz="0" w:space="0" w:color="auto"/>
        <w:bottom w:val="none" w:sz="0" w:space="0" w:color="auto"/>
        <w:right w:val="none" w:sz="0" w:space="0" w:color="auto"/>
      </w:divBdr>
    </w:div>
    <w:div w:id="2124419137">
      <w:bodyDiv w:val="1"/>
      <w:marLeft w:val="0"/>
      <w:marRight w:val="0"/>
      <w:marTop w:val="0"/>
      <w:marBottom w:val="0"/>
      <w:divBdr>
        <w:top w:val="none" w:sz="0" w:space="0" w:color="auto"/>
        <w:left w:val="none" w:sz="0" w:space="0" w:color="auto"/>
        <w:bottom w:val="none" w:sz="0" w:space="0" w:color="auto"/>
        <w:right w:val="none" w:sz="0" w:space="0" w:color="auto"/>
      </w:divBdr>
    </w:div>
    <w:div w:id="212928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1548</Words>
  <Characters>9291</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Lau</dc:creator>
  <cp:keywords/>
  <dc:description/>
  <cp:lastModifiedBy>Diana Kot</cp:lastModifiedBy>
  <cp:revision>2</cp:revision>
  <dcterms:created xsi:type="dcterms:W3CDTF">2024-08-05T07:31:00Z</dcterms:created>
  <dcterms:modified xsi:type="dcterms:W3CDTF">2024-08-05T07:31:00Z</dcterms:modified>
</cp:coreProperties>
</file>