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6F505" w14:textId="4692A2BF" w:rsidR="00445F50" w:rsidRPr="00445F50" w:rsidRDefault="00445F50" w:rsidP="00445F50">
      <w:pPr>
        <w:pStyle w:val="Nagwek1"/>
        <w:rPr>
          <w:b/>
          <w:bCs/>
        </w:rPr>
      </w:pPr>
      <w:r w:rsidRPr="00445F50">
        <w:rPr>
          <w:b/>
          <w:bCs/>
        </w:rPr>
        <w:t>Chiny hamują cenę ropy, a EBC stymuluje gospodarkę. KGHM rośnie, choć miedź po rekordach tanieje. Analiza i prognozy na lipiec</w:t>
      </w:r>
    </w:p>
    <w:p w14:paraId="6FF819C0" w14:textId="77777777" w:rsidR="00445F50" w:rsidRPr="00445F50" w:rsidRDefault="00445F50" w:rsidP="00445F50"/>
    <w:p w14:paraId="78E597B9" w14:textId="1AFA7F48" w:rsidR="00445F50" w:rsidRPr="00445F50" w:rsidRDefault="00BD5E2D" w:rsidP="00445F50">
      <w:pPr>
        <w:pStyle w:val="Nagwek1"/>
        <w:rPr>
          <w:b/>
          <w:bCs/>
        </w:rPr>
      </w:pPr>
      <w:r w:rsidRPr="00445F50">
        <w:rPr>
          <w:b/>
          <w:bCs/>
        </w:rPr>
        <w:t xml:space="preserve">AKCJE </w:t>
      </w:r>
    </w:p>
    <w:p w14:paraId="113B2CD7" w14:textId="1C00CA65" w:rsidR="00BD5E2D" w:rsidRPr="009658D3" w:rsidRDefault="00A7458E" w:rsidP="00EE28C5">
      <w:pPr>
        <w:jc w:val="both"/>
        <w:rPr>
          <w:rFonts w:ascii="Tahoma" w:hAnsi="Tahoma" w:cs="Tahoma"/>
        </w:rPr>
      </w:pPr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Okazuje się, że hossa też potrafi być męcząca…Rynki od wielu miesięcy, z prawie niezauważalnymi </w:t>
      </w:r>
      <w:proofErr w:type="spellStart"/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>korektusińkami</w:t>
      </w:r>
      <w:proofErr w:type="spellEnd"/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pną się w górę, a serwisy branżowe znów są pełne skrótów „ATH” (</w:t>
      </w:r>
      <w:proofErr w:type="spellStart"/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>all</w:t>
      </w:r>
      <w:proofErr w:type="spellEnd"/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proofErr w:type="spellStart"/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>time</w:t>
      </w:r>
      <w:proofErr w:type="spellEnd"/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high). Można odnieść wrażenie, że spadków już nie zobaczymy. Trzymamy się więc scenariusza bazowego w którym światowa hossa potrwa do…obniżki stóp w USA na zasadzie dyskontowania przez rynki akcji</w:t>
      </w:r>
      <w:r w:rsidR="0076020F">
        <w:rPr>
          <w:rFonts w:ascii="Tahoma" w:eastAsia="Times New Roman" w:hAnsi="Tahoma" w:cs="Tahoma"/>
          <w:kern w:val="0"/>
          <w:lang w:eastAsia="pl-PL"/>
          <w14:ligatures w14:val="none"/>
        </w:rPr>
        <w:t>,</w:t>
      </w:r>
      <w:r w:rsidRPr="004841F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przyszłości.</w:t>
      </w:r>
      <w:r w:rsidR="004841F5" w:rsidRPr="004841F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="004841F5">
        <w:rPr>
          <w:rFonts w:ascii="Tahoma" w:eastAsia="Times New Roman" w:hAnsi="Tahoma" w:cs="Tahoma"/>
          <w:kern w:val="0"/>
          <w:lang w:eastAsia="pl-PL"/>
          <w14:ligatures w14:val="none"/>
        </w:rPr>
        <w:t>I</w:t>
      </w:r>
      <w:r w:rsidR="004841F5" w:rsidRPr="004841F5">
        <w:rPr>
          <w:rFonts w:ascii="Tahoma" w:hAnsi="Tahoma" w:cs="Tahoma"/>
        </w:rPr>
        <w:t xml:space="preserve">ndeksy na kontynencie </w:t>
      </w:r>
      <w:r w:rsidR="004841F5">
        <w:rPr>
          <w:rFonts w:ascii="Tahoma" w:hAnsi="Tahoma" w:cs="Tahoma"/>
        </w:rPr>
        <w:t xml:space="preserve">pną </w:t>
      </w:r>
      <w:r w:rsidR="004841F5" w:rsidRPr="004841F5">
        <w:rPr>
          <w:rFonts w:ascii="Tahoma" w:hAnsi="Tahoma" w:cs="Tahoma"/>
        </w:rPr>
        <w:t xml:space="preserve">się </w:t>
      </w:r>
      <w:r w:rsidR="004841F5">
        <w:rPr>
          <w:rFonts w:ascii="Tahoma" w:hAnsi="Tahoma" w:cs="Tahoma"/>
        </w:rPr>
        <w:t>w górę</w:t>
      </w:r>
      <w:r w:rsidR="004841F5" w:rsidRPr="004841F5">
        <w:rPr>
          <w:rFonts w:ascii="Tahoma" w:hAnsi="Tahoma" w:cs="Tahoma"/>
        </w:rPr>
        <w:t xml:space="preserve">, </w:t>
      </w:r>
      <w:r w:rsidR="004841F5">
        <w:rPr>
          <w:rFonts w:ascii="Tahoma" w:hAnsi="Tahoma" w:cs="Tahoma"/>
        </w:rPr>
        <w:t>mimo,</w:t>
      </w:r>
      <w:r w:rsidR="004841F5" w:rsidRPr="004841F5">
        <w:rPr>
          <w:rFonts w:ascii="Tahoma" w:hAnsi="Tahoma" w:cs="Tahoma"/>
        </w:rPr>
        <w:t xml:space="preserve"> że odczyt niemieckiego </w:t>
      </w:r>
      <w:r w:rsidR="004841F5">
        <w:rPr>
          <w:rFonts w:ascii="Tahoma" w:hAnsi="Tahoma" w:cs="Tahoma"/>
        </w:rPr>
        <w:t>IFO</w:t>
      </w:r>
      <w:r w:rsidR="004841F5" w:rsidRPr="004841F5">
        <w:rPr>
          <w:rFonts w:ascii="Tahoma" w:hAnsi="Tahoma" w:cs="Tahoma"/>
        </w:rPr>
        <w:t xml:space="preserve"> (spadek z 89,3 pkt. do 88,6 pkt.) potwierdza wcześniejsze wskazania PMI - </w:t>
      </w:r>
      <w:r w:rsidR="004841F5" w:rsidRPr="00445F50">
        <w:rPr>
          <w:rFonts w:ascii="Tahoma" w:hAnsi="Tahoma" w:cs="Tahoma"/>
          <w:b/>
          <w:bCs/>
        </w:rPr>
        <w:t>sytuacja w gospodarce naszego zachodniego sąsiada i całej strefy euro pozostaje marna (notabene także PKB w Polsce w 2Q2024 będzie zapewne niższy niż można się było spodziewać na początku kwietnia)</w:t>
      </w:r>
      <w:r w:rsidR="004841F5" w:rsidRPr="004841F5">
        <w:rPr>
          <w:rFonts w:ascii="Tahoma" w:hAnsi="Tahoma" w:cs="Tahoma"/>
        </w:rPr>
        <w:t xml:space="preserve">. </w:t>
      </w:r>
      <w:r w:rsidR="004841F5">
        <w:rPr>
          <w:rFonts w:ascii="Tahoma" w:hAnsi="Tahoma" w:cs="Tahoma"/>
        </w:rPr>
        <w:t>Wydaje się, że obecny wzrost to</w:t>
      </w:r>
      <w:r w:rsidR="004841F5" w:rsidRPr="004841F5">
        <w:rPr>
          <w:rFonts w:ascii="Tahoma" w:hAnsi="Tahoma" w:cs="Tahoma"/>
        </w:rPr>
        <w:t xml:space="preserve"> odreagowanie dużego wyprzedania po poprzednich dwóch tygodniach i efekt ewidentnej rotacji na globalnym rynku akcji</w:t>
      </w:r>
      <w:r w:rsidR="004841F5">
        <w:rPr>
          <w:rFonts w:ascii="Tahoma" w:hAnsi="Tahoma" w:cs="Tahoma"/>
        </w:rPr>
        <w:t>.</w:t>
      </w:r>
      <w:r w:rsidR="004841F5" w:rsidRPr="004841F5">
        <w:rPr>
          <w:rFonts w:ascii="Tahoma" w:hAnsi="Tahoma" w:cs="Tahoma"/>
        </w:rPr>
        <w:t xml:space="preserve"> </w:t>
      </w:r>
      <w:r w:rsidR="004841F5">
        <w:rPr>
          <w:rFonts w:ascii="Tahoma" w:hAnsi="Tahoma" w:cs="Tahoma"/>
        </w:rPr>
        <w:t>I właśnie na tej zasadzie, przemieszczania się kapitałów globalnych zyskuje rodzimy akcji</w:t>
      </w:r>
      <w:r w:rsidR="004841F5" w:rsidRPr="004841F5">
        <w:rPr>
          <w:rFonts w:ascii="Tahoma" w:hAnsi="Tahoma" w:cs="Tahoma"/>
        </w:rPr>
        <w:t>. Znacznie słabiej prezent</w:t>
      </w:r>
      <w:r w:rsidR="004841F5">
        <w:rPr>
          <w:rFonts w:ascii="Tahoma" w:hAnsi="Tahoma" w:cs="Tahoma"/>
        </w:rPr>
        <w:t>ują</w:t>
      </w:r>
      <w:r w:rsidR="004841F5" w:rsidRPr="004841F5">
        <w:rPr>
          <w:rFonts w:ascii="Tahoma" w:hAnsi="Tahoma" w:cs="Tahoma"/>
        </w:rPr>
        <w:t xml:space="preserve"> się małe i średnie spółki </w:t>
      </w:r>
      <w:r w:rsidR="004841F5">
        <w:rPr>
          <w:rFonts w:ascii="Tahoma" w:hAnsi="Tahoma" w:cs="Tahoma"/>
        </w:rPr>
        <w:t>obrazowane indeksem</w:t>
      </w:r>
      <w:r w:rsidR="004841F5" w:rsidRPr="004841F5">
        <w:rPr>
          <w:rFonts w:ascii="Tahoma" w:hAnsi="Tahoma" w:cs="Tahoma"/>
        </w:rPr>
        <w:t xml:space="preserve"> mWIG40</w:t>
      </w:r>
      <w:r w:rsidR="004841F5">
        <w:rPr>
          <w:rFonts w:ascii="Tahoma" w:hAnsi="Tahoma" w:cs="Tahoma"/>
        </w:rPr>
        <w:t xml:space="preserve"> i</w:t>
      </w:r>
      <w:r w:rsidR="004841F5" w:rsidRPr="004841F5">
        <w:rPr>
          <w:rFonts w:ascii="Tahoma" w:hAnsi="Tahoma" w:cs="Tahoma"/>
        </w:rPr>
        <w:t xml:space="preserve"> sWIG80</w:t>
      </w:r>
      <w:r w:rsidR="004841F5">
        <w:rPr>
          <w:rFonts w:ascii="Tahoma" w:hAnsi="Tahoma" w:cs="Tahoma"/>
        </w:rPr>
        <w:t>.</w:t>
      </w:r>
      <w:r w:rsidR="004841F5" w:rsidRPr="004841F5">
        <w:rPr>
          <w:rFonts w:ascii="Tahoma" w:hAnsi="Tahoma" w:cs="Tahoma"/>
        </w:rPr>
        <w:t xml:space="preserve"> </w:t>
      </w:r>
      <w:r w:rsidR="004841F5" w:rsidRPr="00445F50">
        <w:rPr>
          <w:rFonts w:ascii="Tahoma" w:hAnsi="Tahoma" w:cs="Tahoma"/>
          <w:b/>
          <w:bCs/>
        </w:rPr>
        <w:t xml:space="preserve">Bohaterem miesiąca jest forowany w poprzednich komentarzach KGHM, </w:t>
      </w:r>
      <w:r w:rsidR="002C4B30" w:rsidRPr="00445F50">
        <w:rPr>
          <w:rFonts w:ascii="Tahoma" w:hAnsi="Tahoma" w:cs="Tahoma"/>
          <w:b/>
          <w:bCs/>
        </w:rPr>
        <w:t xml:space="preserve">zwłaszcza </w:t>
      </w:r>
      <w:r w:rsidR="004841F5" w:rsidRPr="00445F50">
        <w:rPr>
          <w:rFonts w:ascii="Tahoma" w:hAnsi="Tahoma" w:cs="Tahoma"/>
          <w:b/>
          <w:bCs/>
        </w:rPr>
        <w:t>po informacjach o wzroście sprzedaży miedzi w samym maju o 11% r/r</w:t>
      </w:r>
      <w:r w:rsidR="004841F5" w:rsidRPr="004841F5">
        <w:rPr>
          <w:rFonts w:ascii="Tahoma" w:hAnsi="Tahoma" w:cs="Tahoma"/>
        </w:rPr>
        <w:t xml:space="preserve">. </w:t>
      </w:r>
      <w:r w:rsidR="004841F5">
        <w:rPr>
          <w:rFonts w:ascii="Tahoma" w:hAnsi="Tahoma" w:cs="Tahoma"/>
        </w:rPr>
        <w:t>Gdyby szukać czarnych chmur na horyzoncie</w:t>
      </w:r>
      <w:r w:rsidR="0076020F">
        <w:rPr>
          <w:rFonts w:ascii="Tahoma" w:hAnsi="Tahoma" w:cs="Tahoma"/>
        </w:rPr>
        <w:t>,</w:t>
      </w:r>
      <w:r w:rsidR="004841F5">
        <w:rPr>
          <w:rFonts w:ascii="Tahoma" w:hAnsi="Tahoma" w:cs="Tahoma"/>
        </w:rPr>
        <w:t xml:space="preserve"> to w końcu pojawiła się</w:t>
      </w:r>
      <w:r w:rsidR="004841F5" w:rsidRPr="004841F5">
        <w:rPr>
          <w:rFonts w:ascii="Tahoma" w:hAnsi="Tahoma" w:cs="Tahoma"/>
        </w:rPr>
        <w:t xml:space="preserve"> korekta </w:t>
      </w:r>
      <w:r w:rsidR="004841F5">
        <w:rPr>
          <w:rFonts w:ascii="Tahoma" w:hAnsi="Tahoma" w:cs="Tahoma"/>
        </w:rPr>
        <w:t>na akcjach NVIDII.</w:t>
      </w:r>
      <w:r w:rsidR="004841F5" w:rsidRPr="004841F5">
        <w:rPr>
          <w:rFonts w:ascii="Tahoma" w:hAnsi="Tahoma" w:cs="Tahoma"/>
        </w:rPr>
        <w:t xml:space="preserve"> </w:t>
      </w:r>
      <w:r w:rsidR="0076020F">
        <w:rPr>
          <w:rFonts w:ascii="Tahoma" w:hAnsi="Tahoma" w:cs="Tahoma"/>
        </w:rPr>
        <w:t xml:space="preserve">Warto </w:t>
      </w:r>
      <w:r w:rsidR="00D716EB">
        <w:rPr>
          <w:rFonts w:ascii="Tahoma" w:hAnsi="Tahoma" w:cs="Tahoma"/>
        </w:rPr>
        <w:t>spoglądać na notowania tej spółki</w:t>
      </w:r>
      <w:r w:rsidR="00525215">
        <w:rPr>
          <w:rFonts w:ascii="Tahoma" w:hAnsi="Tahoma" w:cs="Tahoma"/>
        </w:rPr>
        <w:t xml:space="preserve">, bo ewentualne rozszerzenie korekty, biorąc </w:t>
      </w:r>
      <w:r w:rsidR="00D716EB">
        <w:rPr>
          <w:rFonts w:ascii="Tahoma" w:hAnsi="Tahoma" w:cs="Tahoma"/>
        </w:rPr>
        <w:t xml:space="preserve">pod uwagę </w:t>
      </w:r>
      <w:r w:rsidR="00525215">
        <w:rPr>
          <w:rFonts w:ascii="Tahoma" w:hAnsi="Tahoma" w:cs="Tahoma"/>
        </w:rPr>
        <w:t>jej kontrybucje do amerykańskich indeksów giełdowych</w:t>
      </w:r>
      <w:r w:rsidR="0076020F">
        <w:rPr>
          <w:rFonts w:ascii="Tahoma" w:hAnsi="Tahoma" w:cs="Tahoma"/>
        </w:rPr>
        <w:t>,</w:t>
      </w:r>
      <w:r w:rsidR="00525215">
        <w:rPr>
          <w:rFonts w:ascii="Tahoma" w:hAnsi="Tahoma" w:cs="Tahoma"/>
        </w:rPr>
        <w:t xml:space="preserve"> jawi się jako zagrożenie dla obowiązującego trendu wzrostowego. </w:t>
      </w:r>
      <w:r w:rsidR="004841F5" w:rsidRPr="004841F5">
        <w:rPr>
          <w:rFonts w:ascii="Tahoma" w:hAnsi="Tahoma" w:cs="Tahoma"/>
        </w:rPr>
        <w:t>Mierząc od szczytu</w:t>
      </w:r>
      <w:r w:rsidR="004841F5">
        <w:rPr>
          <w:rFonts w:ascii="Tahoma" w:hAnsi="Tahoma" w:cs="Tahoma"/>
        </w:rPr>
        <w:t xml:space="preserve"> notowań</w:t>
      </w:r>
      <w:r w:rsidR="00EE28C5">
        <w:rPr>
          <w:rFonts w:ascii="Tahoma" w:hAnsi="Tahoma" w:cs="Tahoma"/>
        </w:rPr>
        <w:t xml:space="preserve"> osiągniętego 20.06</w:t>
      </w:r>
      <w:r w:rsidR="004841F5" w:rsidRPr="004841F5">
        <w:rPr>
          <w:rFonts w:ascii="Tahoma" w:hAnsi="Tahoma" w:cs="Tahoma"/>
        </w:rPr>
        <w:t xml:space="preserve">, </w:t>
      </w:r>
      <w:r w:rsidR="00D716EB">
        <w:rPr>
          <w:rFonts w:ascii="Tahoma" w:hAnsi="Tahoma" w:cs="Tahoma"/>
        </w:rPr>
        <w:t>korekta</w:t>
      </w:r>
      <w:r w:rsidR="004841F5" w:rsidRPr="004841F5">
        <w:rPr>
          <w:rFonts w:ascii="Tahoma" w:hAnsi="Tahoma" w:cs="Tahoma"/>
        </w:rPr>
        <w:t xml:space="preserve"> jest już szesnastoprocentowa. Zachowanie spółki, choć stanowi cenną lekcję poglądową dla jej najnowszych inwestorów, nie jest przesadnie niepokojące, ilustrując jedynie skalę wcześniejszego wykupienia. </w:t>
      </w:r>
      <w:r w:rsidR="00EE28C5">
        <w:rPr>
          <w:rFonts w:ascii="Tahoma" w:hAnsi="Tahoma" w:cs="Tahoma"/>
        </w:rPr>
        <w:t>Można założyć</w:t>
      </w:r>
      <w:r w:rsidR="004841F5" w:rsidRPr="004841F5">
        <w:rPr>
          <w:rFonts w:ascii="Tahoma" w:hAnsi="Tahoma" w:cs="Tahoma"/>
        </w:rPr>
        <w:t>, że mamy do czynienia z czysto techniczną realizacją zysków</w:t>
      </w:r>
      <w:r w:rsidR="00EE28C5">
        <w:rPr>
          <w:rFonts w:ascii="Tahoma" w:hAnsi="Tahoma" w:cs="Tahoma"/>
        </w:rPr>
        <w:t>.</w:t>
      </w:r>
      <w:r w:rsidR="004841F5" w:rsidRPr="004841F5">
        <w:rPr>
          <w:rFonts w:ascii="Tahoma" w:hAnsi="Tahoma" w:cs="Tahoma"/>
        </w:rPr>
        <w:t xml:space="preserve"> Warto pamiętać, że póki co</w:t>
      </w:r>
      <w:r w:rsidR="002C4B30">
        <w:rPr>
          <w:rFonts w:ascii="Tahoma" w:hAnsi="Tahoma" w:cs="Tahoma"/>
        </w:rPr>
        <w:t>,</w:t>
      </w:r>
      <w:r w:rsidR="004841F5" w:rsidRPr="004841F5">
        <w:rPr>
          <w:rFonts w:ascii="Tahoma" w:hAnsi="Tahoma" w:cs="Tahoma"/>
        </w:rPr>
        <w:t xml:space="preserve"> </w:t>
      </w:r>
      <w:r w:rsidR="002C4B30">
        <w:rPr>
          <w:rFonts w:ascii="Tahoma" w:hAnsi="Tahoma" w:cs="Tahoma"/>
        </w:rPr>
        <w:t xml:space="preserve">nie </w:t>
      </w:r>
      <w:r w:rsidR="004841F5" w:rsidRPr="004841F5">
        <w:rPr>
          <w:rFonts w:ascii="Tahoma" w:hAnsi="Tahoma" w:cs="Tahoma"/>
        </w:rPr>
        <w:t xml:space="preserve">cofnęliśmy się </w:t>
      </w:r>
      <w:r w:rsidR="002C4B30">
        <w:rPr>
          <w:rFonts w:ascii="Tahoma" w:hAnsi="Tahoma" w:cs="Tahoma"/>
        </w:rPr>
        <w:t xml:space="preserve">nawet </w:t>
      </w:r>
      <w:r w:rsidR="004841F5" w:rsidRPr="004841F5">
        <w:rPr>
          <w:rFonts w:ascii="Tahoma" w:hAnsi="Tahoma" w:cs="Tahoma"/>
        </w:rPr>
        <w:t xml:space="preserve">do poziomów sprzed </w:t>
      </w:r>
      <w:proofErr w:type="spellStart"/>
      <w:r w:rsidR="004841F5" w:rsidRPr="004841F5">
        <w:rPr>
          <w:rFonts w:ascii="Tahoma" w:hAnsi="Tahoma" w:cs="Tahoma"/>
        </w:rPr>
        <w:t>splitu</w:t>
      </w:r>
      <w:proofErr w:type="spellEnd"/>
      <w:r w:rsidR="002C4B30">
        <w:rPr>
          <w:rFonts w:ascii="Tahoma" w:hAnsi="Tahoma" w:cs="Tahoma"/>
        </w:rPr>
        <w:t>.</w:t>
      </w:r>
      <w:r w:rsidR="004841F5" w:rsidRPr="004841F5">
        <w:rPr>
          <w:rFonts w:ascii="Tahoma" w:hAnsi="Tahoma" w:cs="Tahoma"/>
        </w:rPr>
        <w:t xml:space="preserve"> Nie będzie niespodzianką, jeżeli </w:t>
      </w:r>
      <w:r w:rsidR="002C4B30">
        <w:rPr>
          <w:rFonts w:ascii="Tahoma" w:hAnsi="Tahoma" w:cs="Tahoma"/>
        </w:rPr>
        <w:t>w lipcu</w:t>
      </w:r>
      <w:r w:rsidR="004841F5" w:rsidRPr="004841F5">
        <w:rPr>
          <w:rFonts w:ascii="Tahoma" w:hAnsi="Tahoma" w:cs="Tahoma"/>
        </w:rPr>
        <w:t xml:space="preserve"> ponownie ujawni się popyt</w:t>
      </w:r>
      <w:r w:rsidR="00EE28C5">
        <w:rPr>
          <w:rFonts w:ascii="Tahoma" w:hAnsi="Tahoma" w:cs="Tahoma"/>
        </w:rPr>
        <w:t>.</w:t>
      </w:r>
      <w:r w:rsidR="00C92DA0">
        <w:rPr>
          <w:rFonts w:ascii="Tahoma" w:hAnsi="Tahoma" w:cs="Tahoma"/>
        </w:rPr>
        <w:t xml:space="preserve"> </w:t>
      </w:r>
      <w:r w:rsidR="009658D3" w:rsidRPr="009658D3">
        <w:rPr>
          <w:rFonts w:ascii="Tahoma" w:hAnsi="Tahoma" w:cs="Tahoma"/>
        </w:rPr>
        <w:t>W Polsce odnotowaliśmy właśnie otwarcie 9000 (dziewięciotysięcznej) Żabki. Przedsiębiorca nr 9000 otworzył swój sklep w Kosinie (woj. podkarpackie), liczącej mniej niż 4000 mieszkańców.</w:t>
      </w:r>
      <w:r w:rsidR="0009514A">
        <w:rPr>
          <w:rFonts w:ascii="Tahoma" w:hAnsi="Tahoma" w:cs="Tahoma"/>
        </w:rPr>
        <w:t xml:space="preserve"> A wspomnieć warto o tym dlatego, że </w:t>
      </w:r>
      <w:r w:rsidR="00751CF1">
        <w:rPr>
          <w:rFonts w:ascii="Tahoma" w:hAnsi="Tahoma" w:cs="Tahoma"/>
        </w:rPr>
        <w:t>właściciel a</w:t>
      </w:r>
      <w:r w:rsidR="00751CF1" w:rsidRPr="00E579D2">
        <w:rPr>
          <w:rFonts w:ascii="Tahoma" w:hAnsi="Tahoma" w:cs="Tahoma"/>
        </w:rPr>
        <w:t xml:space="preserve">merykańska firma </w:t>
      </w:r>
      <w:r w:rsidR="00751CF1" w:rsidRPr="00445F50">
        <w:rPr>
          <w:rFonts w:ascii="Tahoma" w:hAnsi="Tahoma" w:cs="Tahoma"/>
          <w:b/>
          <w:bCs/>
        </w:rPr>
        <w:t>CVC Capital Partners planuje wprowadzić spółkę Żabka Polska na giełdę, a wycena firmy może wynieść od 7,5 do 8 mld dolarów</w:t>
      </w:r>
      <w:r w:rsidR="00751CF1" w:rsidRPr="00E579D2">
        <w:rPr>
          <w:rFonts w:ascii="Tahoma" w:hAnsi="Tahoma" w:cs="Tahoma"/>
        </w:rPr>
        <w:t xml:space="preserve"> (dane: Bloomberg).</w:t>
      </w:r>
      <w:r w:rsidR="00751CF1">
        <w:rPr>
          <w:rFonts w:ascii="Tahoma" w:hAnsi="Tahoma" w:cs="Tahoma"/>
        </w:rPr>
        <w:t xml:space="preserve"> Dla polskiej dysfunkcyjnej giełdy, z której więcej firm w ostatnich latach uciekło niż na nią weszło, byłoby to dobre wydarzenie.</w:t>
      </w:r>
    </w:p>
    <w:p w14:paraId="2095CCB7" w14:textId="77777777" w:rsidR="00AC693B" w:rsidRPr="00445F50" w:rsidRDefault="00AC693B" w:rsidP="00445F50">
      <w:pPr>
        <w:pStyle w:val="Nagwek1"/>
        <w:rPr>
          <w:b/>
          <w:bCs/>
        </w:rPr>
      </w:pPr>
      <w:r w:rsidRPr="00445F50">
        <w:rPr>
          <w:b/>
          <w:bCs/>
        </w:rPr>
        <w:t>OBLIGACJE</w:t>
      </w:r>
    </w:p>
    <w:p w14:paraId="691D4748" w14:textId="3FF5D647" w:rsidR="005711D2" w:rsidRPr="00453720" w:rsidRDefault="008A4016" w:rsidP="005711D2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5711D2">
        <w:rPr>
          <w:rFonts w:ascii="Tahoma" w:hAnsi="Tahoma" w:cs="Tahoma"/>
          <w:sz w:val="22"/>
          <w:szCs w:val="22"/>
        </w:rPr>
        <w:t xml:space="preserve">Rentowność 10Y POLANDBOND porusza się od bandy do bandy trzeci miesiąc z rzędu. I choć mało efektowna jest predykcja brzmiąca, </w:t>
      </w:r>
      <w:r w:rsidR="00B21007" w:rsidRPr="005711D2">
        <w:rPr>
          <w:rFonts w:ascii="Tahoma" w:hAnsi="Tahoma" w:cs="Tahoma"/>
          <w:sz w:val="22"/>
          <w:szCs w:val="22"/>
        </w:rPr>
        <w:t>ż</w:t>
      </w:r>
      <w:r w:rsidRPr="005711D2">
        <w:rPr>
          <w:rFonts w:ascii="Tahoma" w:hAnsi="Tahoma" w:cs="Tahoma"/>
          <w:sz w:val="22"/>
          <w:szCs w:val="22"/>
        </w:rPr>
        <w:t>e największ</w:t>
      </w:r>
      <w:r w:rsidR="0076020F">
        <w:rPr>
          <w:rFonts w:ascii="Tahoma" w:hAnsi="Tahoma" w:cs="Tahoma"/>
          <w:sz w:val="22"/>
          <w:szCs w:val="22"/>
        </w:rPr>
        <w:t>ym</w:t>
      </w:r>
      <w:r w:rsidRPr="005711D2">
        <w:rPr>
          <w:rFonts w:ascii="Tahoma" w:hAnsi="Tahoma" w:cs="Tahoma"/>
          <w:sz w:val="22"/>
          <w:szCs w:val="22"/>
        </w:rPr>
        <w:t xml:space="preserve"> prawdopodobieństw</w:t>
      </w:r>
      <w:r w:rsidR="0076020F">
        <w:rPr>
          <w:rFonts w:ascii="Tahoma" w:hAnsi="Tahoma" w:cs="Tahoma"/>
          <w:sz w:val="22"/>
          <w:szCs w:val="22"/>
        </w:rPr>
        <w:t>em obarczone jest</w:t>
      </w:r>
      <w:r w:rsidRPr="005711D2">
        <w:rPr>
          <w:rFonts w:ascii="Tahoma" w:hAnsi="Tahoma" w:cs="Tahoma"/>
          <w:sz w:val="22"/>
          <w:szCs w:val="22"/>
        </w:rPr>
        <w:t>, że dalej tak pozostanie</w:t>
      </w:r>
      <w:r w:rsidR="0076020F">
        <w:rPr>
          <w:rFonts w:ascii="Tahoma" w:hAnsi="Tahoma" w:cs="Tahoma"/>
          <w:sz w:val="22"/>
          <w:szCs w:val="22"/>
        </w:rPr>
        <w:t>,</w:t>
      </w:r>
      <w:r w:rsidRPr="005711D2">
        <w:rPr>
          <w:rFonts w:ascii="Tahoma" w:hAnsi="Tahoma" w:cs="Tahoma"/>
          <w:sz w:val="22"/>
          <w:szCs w:val="22"/>
        </w:rPr>
        <w:t xml:space="preserve"> to…tak właśnie jest. Wąski przedział wahań między 5,6% a 5,8% wyznacza poziom stóp procentowych w Polsce i szeroki konsensus, że to się szybko nie zmieni.</w:t>
      </w:r>
      <w:r w:rsidR="00A06B25" w:rsidRPr="005711D2">
        <w:rPr>
          <w:rFonts w:ascii="Tahoma" w:hAnsi="Tahoma" w:cs="Tahoma"/>
          <w:sz w:val="22"/>
          <w:szCs w:val="22"/>
        </w:rPr>
        <w:t xml:space="preserve"> Wypowiedzi członków RPP od ostatniego posiedzenia nie różniły się znacząco od utrzymywanej od wielu miesięcy komunikacji. </w:t>
      </w:r>
      <w:r w:rsidR="00D716EB">
        <w:rPr>
          <w:rFonts w:ascii="Tahoma" w:hAnsi="Tahoma" w:cs="Tahoma"/>
          <w:sz w:val="22"/>
          <w:szCs w:val="22"/>
        </w:rPr>
        <w:t>J</w:t>
      </w:r>
      <w:r w:rsidR="00A06B25" w:rsidRPr="005711D2">
        <w:rPr>
          <w:rFonts w:ascii="Tahoma" w:hAnsi="Tahoma" w:cs="Tahoma"/>
          <w:sz w:val="22"/>
          <w:szCs w:val="22"/>
        </w:rPr>
        <w:t>askółką jest wypowiedź prof. Masłowskiej, która wskazała, że należy być elastycznym w podejściu do stóp procentowych. Wskazuje ona jednocześnie, że nie wyklucza obniżki czy podwyżki, w domyśle w tym roku. To pierwsza taka wypowiedź członka RPP od miesięcy…</w:t>
      </w:r>
      <w:r w:rsidR="000300F1" w:rsidRPr="005711D2">
        <w:rPr>
          <w:rFonts w:ascii="Tahoma" w:hAnsi="Tahoma" w:cs="Tahoma"/>
          <w:sz w:val="22"/>
          <w:szCs w:val="22"/>
        </w:rPr>
        <w:t xml:space="preserve"> </w:t>
      </w:r>
      <w:r w:rsidR="000300F1" w:rsidRPr="005711D2">
        <w:rPr>
          <w:rStyle w:val="lead"/>
          <w:rFonts w:ascii="Tahoma" w:hAnsi="Tahoma" w:cs="Tahoma"/>
          <w:sz w:val="22"/>
          <w:szCs w:val="22"/>
        </w:rPr>
        <w:t xml:space="preserve">Europejski Bank Centralny zdecydował się na pierwszą w tym cyklu obniżkę </w:t>
      </w:r>
      <w:r w:rsidR="000300F1" w:rsidRPr="005711D2">
        <w:rPr>
          <w:rStyle w:val="lead"/>
          <w:rFonts w:ascii="Tahoma" w:hAnsi="Tahoma" w:cs="Tahoma"/>
          <w:sz w:val="22"/>
          <w:szCs w:val="22"/>
        </w:rPr>
        <w:lastRenderedPageBreak/>
        <w:t xml:space="preserve">stóp procentowych. Skala redukcji wyniosła 25 </w:t>
      </w:r>
      <w:proofErr w:type="spellStart"/>
      <w:r w:rsidR="000300F1" w:rsidRPr="005711D2">
        <w:rPr>
          <w:rStyle w:val="lead"/>
          <w:rFonts w:ascii="Tahoma" w:hAnsi="Tahoma" w:cs="Tahoma"/>
          <w:sz w:val="22"/>
          <w:szCs w:val="22"/>
        </w:rPr>
        <w:t>pb</w:t>
      </w:r>
      <w:proofErr w:type="spellEnd"/>
      <w:r w:rsidR="000300F1" w:rsidRPr="005711D2">
        <w:rPr>
          <w:rStyle w:val="lead"/>
          <w:rFonts w:ascii="Tahoma" w:hAnsi="Tahoma" w:cs="Tahoma"/>
          <w:sz w:val="22"/>
          <w:szCs w:val="22"/>
        </w:rPr>
        <w:t>. i wpisała się w oczekiwania rynku.</w:t>
      </w:r>
      <w:r w:rsidR="005711D2" w:rsidRPr="005711D2">
        <w:rPr>
          <w:rStyle w:val="lead"/>
          <w:rFonts w:ascii="Tahoma" w:hAnsi="Tahoma" w:cs="Tahoma"/>
          <w:sz w:val="22"/>
          <w:szCs w:val="22"/>
        </w:rPr>
        <w:t xml:space="preserve"> </w:t>
      </w:r>
      <w:r w:rsidR="005711D2" w:rsidRPr="005711D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Jest to </w:t>
      </w:r>
      <w:r w:rsidR="005711D2" w:rsidRPr="00445F50">
        <w:rPr>
          <w:rStyle w:val="Pogrubienie"/>
          <w:rFonts w:ascii="Tahoma" w:hAnsi="Tahoma" w:cs="Tahoma"/>
          <w:sz w:val="22"/>
          <w:szCs w:val="22"/>
        </w:rPr>
        <w:t>pierwsza obniżka stóp procentowych w strefie euro od 2019 roku</w:t>
      </w:r>
      <w:r w:rsidR="005711D2" w:rsidRPr="005711D2">
        <w:rPr>
          <w:rStyle w:val="Pogrubienie"/>
          <w:rFonts w:ascii="Tahoma" w:hAnsi="Tahoma" w:cs="Tahoma"/>
          <w:b w:val="0"/>
          <w:bCs w:val="0"/>
          <w:sz w:val="22"/>
          <w:szCs w:val="22"/>
        </w:rPr>
        <w:t>. Z kolei przez poprzednie 9 miesięcy stopy w EBC utrzymywane były na najwyższych poziomach od 2001 roku.</w:t>
      </w:r>
      <w:r w:rsidR="005711D2" w:rsidRPr="005711D2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5711D2" w:rsidRPr="005711D2">
        <w:rPr>
          <w:rFonts w:ascii="Tahoma" w:hAnsi="Tahoma" w:cs="Tahoma"/>
          <w:sz w:val="22"/>
          <w:szCs w:val="22"/>
        </w:rPr>
        <w:t>Obniżka stóp procentowych przy wciąż relatywnie podwyższonej inflacji ma być remedium na stagnację europejskiej gospodarki, która</w:t>
      </w:r>
      <w:r w:rsidR="005711D2">
        <w:rPr>
          <w:rFonts w:ascii="Tahoma" w:hAnsi="Tahoma" w:cs="Tahoma"/>
          <w:sz w:val="22"/>
          <w:szCs w:val="22"/>
        </w:rPr>
        <w:t xml:space="preserve"> dopiero co wygrzebała się z technicznej recesji, a już wskaźniki wyprzedzenia pokazują kruchość ożywienia.</w:t>
      </w:r>
      <w:r w:rsidR="003442C8">
        <w:rPr>
          <w:rFonts w:ascii="Tahoma" w:hAnsi="Tahoma" w:cs="Tahoma"/>
          <w:sz w:val="22"/>
          <w:szCs w:val="22"/>
        </w:rPr>
        <w:t xml:space="preserve"> </w:t>
      </w:r>
      <w:r w:rsidR="005711D2" w:rsidRPr="005711D2">
        <w:rPr>
          <w:rFonts w:ascii="Tahoma" w:hAnsi="Tahoma" w:cs="Tahoma"/>
          <w:sz w:val="22"/>
          <w:szCs w:val="22"/>
        </w:rPr>
        <w:t xml:space="preserve">Pierwsze cięcie jest już za nami i teraz kluczowe pytanie brzmi: kiedy EBC zdecyduje się na kolejne obniżki. Przed czerwcową decyzją rynek terminowy wyceniał łącznie 60 </w:t>
      </w:r>
      <w:proofErr w:type="spellStart"/>
      <w:r w:rsidR="005711D2" w:rsidRPr="005711D2">
        <w:rPr>
          <w:rFonts w:ascii="Tahoma" w:hAnsi="Tahoma" w:cs="Tahoma"/>
          <w:sz w:val="22"/>
          <w:szCs w:val="22"/>
        </w:rPr>
        <w:t>pb</w:t>
      </w:r>
      <w:proofErr w:type="spellEnd"/>
      <w:r w:rsidR="005711D2" w:rsidRPr="005711D2">
        <w:rPr>
          <w:rFonts w:ascii="Tahoma" w:hAnsi="Tahoma" w:cs="Tahoma"/>
          <w:sz w:val="22"/>
          <w:szCs w:val="22"/>
        </w:rPr>
        <w:t xml:space="preserve">. obniżek stóp procentowych w EBC do końca 2024 roku. Czyli jeszcze jedno „pewne” cięcie (zapewne we wrześniu) oraz niespełna 50% szans na drugie (w grudniu?). Jednak wielu ekonomistów zakłada, że </w:t>
      </w:r>
      <w:proofErr w:type="spellStart"/>
      <w:r w:rsidR="005711D2" w:rsidRPr="005711D2">
        <w:rPr>
          <w:rFonts w:ascii="Tahoma" w:hAnsi="Tahoma" w:cs="Tahoma"/>
          <w:sz w:val="22"/>
          <w:szCs w:val="22"/>
        </w:rPr>
        <w:t>Lagarde</w:t>
      </w:r>
      <w:proofErr w:type="spellEnd"/>
      <w:r w:rsidR="005711D2" w:rsidRPr="005711D2">
        <w:rPr>
          <w:rFonts w:ascii="Tahoma" w:hAnsi="Tahoma" w:cs="Tahoma"/>
          <w:sz w:val="22"/>
          <w:szCs w:val="22"/>
        </w:rPr>
        <w:t xml:space="preserve"> i spółka użyją skalpela zarówno we wrześniu jak i w grudniu, co łącznie z czerwcową obniżką dawałoby trzy cięcia stóp w tym roku. Z kolej największe monetarne „gołębie” chciałyby ponownie obniżyć koszty kredytu już na następnym, lipcowy, posiedzeniu Rady Prezesów.</w:t>
      </w:r>
      <w:r w:rsidR="003442C8">
        <w:rPr>
          <w:rFonts w:ascii="Tahoma" w:hAnsi="Tahoma" w:cs="Tahoma"/>
          <w:sz w:val="22"/>
          <w:szCs w:val="22"/>
        </w:rPr>
        <w:t xml:space="preserve"> Jeśli do tego dołożymy</w:t>
      </w:r>
      <w:r w:rsidR="008E15A6">
        <w:rPr>
          <w:rFonts w:ascii="Tahoma" w:hAnsi="Tahoma" w:cs="Tahoma"/>
          <w:sz w:val="22"/>
          <w:szCs w:val="22"/>
        </w:rPr>
        <w:t xml:space="preserve">, ze wydatnie wzrosło prawdopodobieństwo wrześniowej obniżki w USA, to jesienią obudzimy się w sytuacji w której rynki bazowe obniżają stopy, a Polska jako jedna z nielicznych nie…Trudno w tej sytuacji spodziewać się wydatnego wzrostu cen obligacji skarbowych. Chyba, </w:t>
      </w:r>
      <w:r w:rsidR="00097CAA">
        <w:rPr>
          <w:rFonts w:ascii="Tahoma" w:hAnsi="Tahoma" w:cs="Tahoma"/>
          <w:sz w:val="22"/>
          <w:szCs w:val="22"/>
        </w:rPr>
        <w:t>ż</w:t>
      </w:r>
      <w:r w:rsidR="008E15A6">
        <w:rPr>
          <w:rFonts w:ascii="Tahoma" w:hAnsi="Tahoma" w:cs="Tahoma"/>
          <w:sz w:val="22"/>
          <w:szCs w:val="22"/>
        </w:rPr>
        <w:t>e wierzyć Goldmanowi, który prognozuje ze RPP zmuszona będzie właśnie z opisanych wyżej powodów do obniżania stopy. Tym</w:t>
      </w:r>
      <w:r w:rsidR="00097CAA">
        <w:rPr>
          <w:rFonts w:ascii="Tahoma" w:hAnsi="Tahoma" w:cs="Tahoma"/>
          <w:sz w:val="22"/>
          <w:szCs w:val="22"/>
        </w:rPr>
        <w:t>,</w:t>
      </w:r>
      <w:r w:rsidR="008E15A6">
        <w:rPr>
          <w:rFonts w:ascii="Tahoma" w:hAnsi="Tahoma" w:cs="Tahoma"/>
          <w:sz w:val="22"/>
          <w:szCs w:val="22"/>
        </w:rPr>
        <w:t xml:space="preserve"> którzy nie mogą otrząsnąć się po kolejnej porażce rodzimych kopaczy na międzynarodowej imprezie, zwracam uwagę na rentowności obligacji krajów z którymi rywalizowaliśmy w grupie </w:t>
      </w:r>
      <w:r w:rsidR="008E15A6" w:rsidRPr="000742F8">
        <w:rPr>
          <w:rFonts w:ascii="Tahoma" w:hAnsi="Tahoma" w:cs="Tahoma"/>
          <w:sz w:val="22"/>
          <w:szCs w:val="22"/>
        </w:rPr>
        <w:t xml:space="preserve">(FRANCE 10Y BOND YIELD 3,1%; NETHERLANDS 10Y BOND YIELD 2,73%; </w:t>
      </w:r>
      <w:r w:rsidR="000742F8" w:rsidRPr="000742F8">
        <w:rPr>
          <w:rFonts w:ascii="Tahoma" w:hAnsi="Tahoma" w:cs="Tahoma"/>
          <w:sz w:val="22"/>
          <w:szCs w:val="22"/>
        </w:rPr>
        <w:t>AUSTRIA 10Y BOND YIELD 2,95%)</w:t>
      </w:r>
      <w:r w:rsidR="000742F8">
        <w:t xml:space="preserve">. </w:t>
      </w:r>
      <w:r w:rsidR="00097CAA" w:rsidRPr="00453720">
        <w:rPr>
          <w:rFonts w:ascii="Tahoma" w:hAnsi="Tahoma" w:cs="Tahoma"/>
          <w:sz w:val="22"/>
          <w:szCs w:val="22"/>
        </w:rPr>
        <w:t>I choć g</w:t>
      </w:r>
      <w:r w:rsidR="000742F8" w:rsidRPr="00453720">
        <w:rPr>
          <w:rFonts w:ascii="Tahoma" w:hAnsi="Tahoma" w:cs="Tahoma"/>
          <w:sz w:val="22"/>
          <w:szCs w:val="22"/>
        </w:rPr>
        <w:t xml:space="preserve">dyby </w:t>
      </w:r>
      <w:r w:rsidR="00453720">
        <w:rPr>
          <w:rFonts w:ascii="Tahoma" w:hAnsi="Tahoma" w:cs="Tahoma"/>
          <w:sz w:val="22"/>
          <w:szCs w:val="22"/>
        </w:rPr>
        <w:t xml:space="preserve">z </w:t>
      </w:r>
      <w:r w:rsidR="000742F8" w:rsidRPr="00453720">
        <w:rPr>
          <w:rFonts w:ascii="Tahoma" w:hAnsi="Tahoma" w:cs="Tahoma"/>
          <w:sz w:val="22"/>
          <w:szCs w:val="22"/>
        </w:rPr>
        <w:t xml:space="preserve">rentowności obligacji </w:t>
      </w:r>
      <w:r w:rsidR="00453720">
        <w:rPr>
          <w:rFonts w:ascii="Tahoma" w:hAnsi="Tahoma" w:cs="Tahoma"/>
          <w:sz w:val="22"/>
          <w:szCs w:val="22"/>
        </w:rPr>
        <w:t>wróżyć</w:t>
      </w:r>
      <w:r w:rsidR="000742F8" w:rsidRPr="00453720">
        <w:rPr>
          <w:rFonts w:ascii="Tahoma" w:hAnsi="Tahoma" w:cs="Tahoma"/>
          <w:sz w:val="22"/>
          <w:szCs w:val="22"/>
        </w:rPr>
        <w:t xml:space="preserve"> </w:t>
      </w:r>
      <w:r w:rsidR="00453720">
        <w:rPr>
          <w:rFonts w:ascii="Tahoma" w:hAnsi="Tahoma" w:cs="Tahoma"/>
          <w:sz w:val="22"/>
          <w:szCs w:val="22"/>
        </w:rPr>
        <w:t>wynik końcowy</w:t>
      </w:r>
      <w:r w:rsidR="00097CAA" w:rsidRPr="00453720">
        <w:rPr>
          <w:rFonts w:ascii="Tahoma" w:hAnsi="Tahoma" w:cs="Tahoma"/>
          <w:sz w:val="22"/>
          <w:szCs w:val="22"/>
        </w:rPr>
        <w:t>,</w:t>
      </w:r>
      <w:r w:rsidR="000742F8" w:rsidRPr="00453720">
        <w:rPr>
          <w:rFonts w:ascii="Tahoma" w:hAnsi="Tahoma" w:cs="Tahoma"/>
          <w:sz w:val="22"/>
          <w:szCs w:val="22"/>
        </w:rPr>
        <w:t xml:space="preserve"> </w:t>
      </w:r>
      <w:r w:rsidR="00453720">
        <w:rPr>
          <w:rFonts w:ascii="Tahoma" w:hAnsi="Tahoma" w:cs="Tahoma"/>
          <w:sz w:val="22"/>
          <w:szCs w:val="22"/>
        </w:rPr>
        <w:t xml:space="preserve">trzeba by stawiać, że </w:t>
      </w:r>
      <w:r w:rsidR="000742F8" w:rsidRPr="00453720">
        <w:rPr>
          <w:rFonts w:ascii="Tahoma" w:hAnsi="Tahoma" w:cs="Tahoma"/>
          <w:sz w:val="22"/>
          <w:szCs w:val="22"/>
        </w:rPr>
        <w:t>mistrzem b</w:t>
      </w:r>
      <w:r w:rsidR="00453720">
        <w:rPr>
          <w:rFonts w:ascii="Tahoma" w:hAnsi="Tahoma" w:cs="Tahoma"/>
          <w:sz w:val="22"/>
          <w:szCs w:val="22"/>
        </w:rPr>
        <w:t>ędzie</w:t>
      </w:r>
      <w:r w:rsidR="000742F8" w:rsidRPr="00453720">
        <w:rPr>
          <w:rFonts w:ascii="Tahoma" w:hAnsi="Tahoma" w:cs="Tahoma"/>
          <w:sz w:val="22"/>
          <w:szCs w:val="22"/>
        </w:rPr>
        <w:t xml:space="preserve"> Szwajcaria</w:t>
      </w:r>
      <w:r w:rsidR="00453720">
        <w:rPr>
          <w:rFonts w:ascii="Tahoma" w:hAnsi="Tahoma" w:cs="Tahoma"/>
          <w:sz w:val="22"/>
          <w:szCs w:val="22"/>
        </w:rPr>
        <w:t>…</w:t>
      </w:r>
      <w:r w:rsidR="000742F8" w:rsidRPr="00453720">
        <w:rPr>
          <w:rFonts w:ascii="Tahoma" w:hAnsi="Tahoma" w:cs="Tahoma"/>
          <w:sz w:val="22"/>
          <w:szCs w:val="22"/>
        </w:rPr>
        <w:t xml:space="preserve"> </w:t>
      </w:r>
      <w:r w:rsidR="00453720">
        <w:rPr>
          <w:rFonts w:ascii="Tahoma" w:hAnsi="Tahoma" w:cs="Tahoma"/>
          <w:sz w:val="22"/>
          <w:szCs w:val="22"/>
        </w:rPr>
        <w:t>W</w:t>
      </w:r>
      <w:r w:rsidR="00097CAA" w:rsidRPr="00453720">
        <w:rPr>
          <w:rFonts w:ascii="Tahoma" w:hAnsi="Tahoma" w:cs="Tahoma"/>
          <w:sz w:val="22"/>
          <w:szCs w:val="22"/>
        </w:rPr>
        <w:t xml:space="preserve"> wielu przypadkach</w:t>
      </w:r>
      <w:r w:rsidR="00453720">
        <w:rPr>
          <w:rFonts w:ascii="Tahoma" w:hAnsi="Tahoma" w:cs="Tahoma"/>
          <w:sz w:val="22"/>
          <w:szCs w:val="22"/>
        </w:rPr>
        <w:t xml:space="preserve"> jednak</w:t>
      </w:r>
      <w:r w:rsidR="00751CF1" w:rsidRPr="00453720">
        <w:rPr>
          <w:rFonts w:ascii="Tahoma" w:hAnsi="Tahoma" w:cs="Tahoma"/>
          <w:sz w:val="22"/>
          <w:szCs w:val="22"/>
        </w:rPr>
        <w:t>,</w:t>
      </w:r>
      <w:r w:rsidR="00453720">
        <w:rPr>
          <w:rFonts w:ascii="Tahoma" w:hAnsi="Tahoma" w:cs="Tahoma"/>
          <w:sz w:val="22"/>
          <w:szCs w:val="22"/>
        </w:rPr>
        <w:t xml:space="preserve"> nie tylko w „polskiej” grupie</w:t>
      </w:r>
      <w:r w:rsidR="00097CAA" w:rsidRPr="00453720">
        <w:rPr>
          <w:rFonts w:ascii="Tahoma" w:hAnsi="Tahoma" w:cs="Tahoma"/>
          <w:sz w:val="22"/>
          <w:szCs w:val="22"/>
        </w:rPr>
        <w:t xml:space="preserve"> obligacje wygenerowałyby dobrą odpowiedź na pytanie „Kto wygra mecz..?”.</w:t>
      </w:r>
    </w:p>
    <w:p w14:paraId="2233E55A" w14:textId="77777777" w:rsidR="00793EA8" w:rsidRPr="00445F50" w:rsidRDefault="00793EA8" w:rsidP="00445F50">
      <w:pPr>
        <w:pStyle w:val="Nagwek1"/>
        <w:rPr>
          <w:b/>
          <w:bCs/>
        </w:rPr>
      </w:pPr>
      <w:r w:rsidRPr="00445F50">
        <w:rPr>
          <w:b/>
          <w:bCs/>
        </w:rPr>
        <w:t>SUROWCE</w:t>
      </w:r>
    </w:p>
    <w:p w14:paraId="32DFA522" w14:textId="1CEC1299" w:rsidR="00F41029" w:rsidRPr="00D716EB" w:rsidRDefault="00F41029" w:rsidP="00793E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>Przez ostatnie tygodnie sytuacja między Izraelem oraz Hamasem nie była tematem pierwszych stron gazet.</w:t>
      </w:r>
      <w:r w:rsidR="007B0261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To jednak nie koniec zwiększenia napięcia geopolitycznego w regionie Bliskiego Wschodu. Izrael zbombardował obóz uchodźców w </w:t>
      </w:r>
      <w:proofErr w:type="spellStart"/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>Rafah</w:t>
      </w:r>
      <w:proofErr w:type="spellEnd"/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>, co wywołało międzynarodowy sprzeciw w stosunku do kontynuacji działań wojennych w Strefie Gazy. Oprócz tego</w:t>
      </w:r>
      <w:r w:rsidR="004973CE">
        <w:rPr>
          <w:rFonts w:ascii="Tahoma" w:eastAsia="Times New Roman" w:hAnsi="Tahoma" w:cs="Tahoma"/>
          <w:kern w:val="0"/>
          <w:lang w:eastAsia="pl-PL"/>
          <w14:ligatures w14:val="none"/>
        </w:rPr>
        <w:t>,</w:t>
      </w:r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aż dwukrotnie dokonano ataku na tankowce na Morzu Czerwonym za sprawą </w:t>
      </w:r>
      <w:proofErr w:type="spellStart"/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>Houthi</w:t>
      </w:r>
      <w:proofErr w:type="spellEnd"/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z Jemenu, co ponownie </w:t>
      </w:r>
      <w:r w:rsidR="007B0261" w:rsidRPr="00445F50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może zaszkodzić regularnościom dostaw najważniejszego surowca na świecie</w:t>
      </w:r>
      <w:r w:rsidR="007B0261"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. </w:t>
      </w:r>
      <w:r w:rsidR="007B0261" w:rsidRPr="007B0261">
        <w:rPr>
          <w:rFonts w:ascii="Tahoma" w:eastAsia="Times New Roman" w:hAnsi="Tahoma" w:cs="Tahoma"/>
          <w:kern w:val="0"/>
          <w:lang w:eastAsia="pl-PL"/>
          <w14:ligatures w14:val="none"/>
        </w:rPr>
        <w:t>Złożenie tych wszystkich wydarzeń doprowadziło do tego, że</w:t>
      </w:r>
      <w:r w:rsidR="00340620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cena jest</w:t>
      </w:r>
      <w:r w:rsidR="007B0261" w:rsidRPr="007B0261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na dobrej drodze do największego </w:t>
      </w:r>
      <w:r w:rsidR="007B0261">
        <w:rPr>
          <w:rFonts w:ascii="Tahoma" w:eastAsia="Times New Roman" w:hAnsi="Tahoma" w:cs="Tahoma"/>
          <w:kern w:val="0"/>
          <w:lang w:eastAsia="pl-PL"/>
          <w14:ligatures w14:val="none"/>
        </w:rPr>
        <w:t>jednomiesięcznego wzrostu w tym roku</w:t>
      </w:r>
      <w:r w:rsidR="007B0261" w:rsidRPr="007B0261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  <w:r w:rsidR="007B0261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>Powiększony kartel OPEC+ ogranicz</w:t>
      </w:r>
      <w:r w:rsidR="007B0261">
        <w:rPr>
          <w:rFonts w:ascii="Tahoma" w:eastAsia="Times New Roman" w:hAnsi="Tahoma" w:cs="Tahoma"/>
          <w:kern w:val="0"/>
          <w:lang w:eastAsia="pl-PL"/>
          <w14:ligatures w14:val="none"/>
        </w:rPr>
        <w:t>ył 3 czerwca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wydobycie ropy niemal o 6 milionów baryłek na dzień! To więcej niż 5% globalnej podaży ropy naftowej.</w:t>
      </w:r>
      <w:r w:rsidR="007B0261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Cena ropy naftowej nie szybuje jeszcze wyżej, dlatego, że odpowiadające za połowę popytu na ropę na świecie Chiny</w:t>
      </w:r>
      <w:r w:rsidR="0070646C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(dzienny popyt 15 milionów baryłek !) nie dość, że nie budują zapasów, to jeszcze zmniejszyły dzienny popyt o 1 mln baryłek. </w:t>
      </w:r>
      <w:r w:rsidR="00FF46C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Dla równowagi </w:t>
      </w:r>
      <w:r w:rsidRPr="00FF46C8">
        <w:rPr>
          <w:rFonts w:ascii="Tahoma" w:eastAsia="Times New Roman" w:hAnsi="Tahoma" w:cs="Tahoma"/>
          <w:kern w:val="0"/>
          <w:lang w:eastAsia="pl-PL"/>
          <w14:ligatures w14:val="none"/>
        </w:rPr>
        <w:t>popyt w USA zaczyna wykazywać oznaki ożywienia.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To może być potencjalny problem dla Joe Bidena, który stara się o reelekcję. </w:t>
      </w:r>
      <w:r w:rsidRPr="00FF46C8">
        <w:rPr>
          <w:rFonts w:ascii="Tahoma" w:eastAsia="Times New Roman" w:hAnsi="Tahoma" w:cs="Tahoma"/>
          <w:kern w:val="0"/>
          <w:lang w:eastAsia="pl-PL"/>
          <w14:ligatures w14:val="none"/>
        </w:rPr>
        <w:t>Statystycznie ceny ropy i paliw spadały na ok. 1 miesiąc przed wyborami, ale jeśli produkcja w USA będzie spadać, a popyt będzie rósł, będzie o to dosyć trudno.</w:t>
      </w:r>
      <w:r w:rsidR="00FF46C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Pr="00FF46C8">
        <w:rPr>
          <w:rFonts w:ascii="Tahoma" w:eastAsia="Times New Roman" w:hAnsi="Tahoma" w:cs="Tahoma"/>
          <w:kern w:val="0"/>
          <w:lang w:eastAsia="pl-PL"/>
          <w14:ligatures w14:val="none"/>
        </w:rPr>
        <w:t>W przypadku blokady Morza Czerwonego albo gorszej sytuacji w postaci blokady Cieśniny Ormuz ceny mogłyby powrócić powyżej 100 USD za baryłkę. To jednak nie wydaje się być scenariuszem bazowym. Ceny 90 USD za baryłkę w trakcie pierwszego kwartału tego roku były podyktowane sytuacją geopolityczną, a nie bieżącą różnicą między popytem i podażą.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="004973CE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Prognozując w dłuższym </w:t>
      </w:r>
      <w:r w:rsidR="00445F50">
        <w:rPr>
          <w:rFonts w:ascii="Tahoma" w:eastAsia="Times New Roman" w:hAnsi="Tahoma" w:cs="Tahoma"/>
          <w:kern w:val="0"/>
          <w:lang w:eastAsia="pl-PL"/>
          <w14:ligatures w14:val="none"/>
        </w:rPr>
        <w:t>kilkuletnim</w:t>
      </w:r>
      <w:r w:rsidR="004973CE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terminie, trzeba brać pod uwagę, że popyt 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>może nie rosnąć już tak dynamicznie jak przez ostatnie 10-20 lat (pomijając kryzysy), co jest związane z transformacją energetyczną. Samochody elektryczne</w:t>
      </w:r>
      <w:r w:rsidR="004973CE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(ciekawe ilu doradców PHINANCE już nimi jeździ…)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coraz częściej pojawiają się nie tylko na amerykańskich czy europejskich ulicach, ale przede wszystkim w Chinach, czego wynikiem może być </w:t>
      </w:r>
      <w:r w:rsidR="0084776E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chińska 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słabość popytowa</w:t>
      </w:r>
      <w:r w:rsidR="0084776E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opisana akapit wyżej</w:t>
      </w:r>
      <w:r w:rsidRPr="00793EA8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  <w:r w:rsidR="00B26BA5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="00B26BA5" w:rsidRPr="00D716EB">
        <w:rPr>
          <w:rFonts w:ascii="Tahoma" w:hAnsi="Tahoma" w:cs="Tahoma"/>
        </w:rPr>
        <w:t xml:space="preserve">Notowania miedzi osiągnęły rekordowo wysokie </w:t>
      </w:r>
      <w:r w:rsidR="00B26BA5" w:rsidRPr="00D716EB">
        <w:rPr>
          <w:rFonts w:ascii="Tahoma" w:hAnsi="Tahoma" w:cs="Tahoma"/>
        </w:rPr>
        <w:lastRenderedPageBreak/>
        <w:t xml:space="preserve">poziomy podczas sesji 20 maja. Od tego czasu, czyli już od </w:t>
      </w:r>
      <w:r w:rsidR="00D716EB">
        <w:rPr>
          <w:rFonts w:ascii="Tahoma" w:hAnsi="Tahoma" w:cs="Tahoma"/>
        </w:rPr>
        <w:t>ponad</w:t>
      </w:r>
      <w:r w:rsidR="00B26BA5" w:rsidRPr="00D716EB">
        <w:rPr>
          <w:rFonts w:ascii="Tahoma" w:hAnsi="Tahoma" w:cs="Tahoma"/>
        </w:rPr>
        <w:t xml:space="preserve"> miesiąca, </w:t>
      </w:r>
      <w:r w:rsidR="00B26BA5" w:rsidRPr="00445F50">
        <w:rPr>
          <w:rFonts w:ascii="Tahoma" w:hAnsi="Tahoma" w:cs="Tahoma"/>
          <w:b/>
          <w:bCs/>
        </w:rPr>
        <w:t>cena miedzi spada, odreagowując tę ostatnią, najbardziej dynamiczną fazę ruchu wzrostowego</w:t>
      </w:r>
      <w:r w:rsidR="00B26BA5" w:rsidRPr="00D716EB">
        <w:rPr>
          <w:rFonts w:ascii="Tahoma" w:hAnsi="Tahoma" w:cs="Tahoma"/>
        </w:rPr>
        <w:t xml:space="preserve">. </w:t>
      </w:r>
      <w:r w:rsidR="00D716EB">
        <w:rPr>
          <w:rFonts w:ascii="Tahoma" w:hAnsi="Tahoma" w:cs="Tahoma"/>
        </w:rPr>
        <w:t>Fundamentalne powody długoterminowego wzrostu ceny – dysproporcja między rosnącym popytem a podażą wynikająca z transformacji energetycznej</w:t>
      </w:r>
      <w:r w:rsidR="0084776E">
        <w:rPr>
          <w:rFonts w:ascii="Tahoma" w:hAnsi="Tahoma" w:cs="Tahoma"/>
        </w:rPr>
        <w:t xml:space="preserve"> oraz logarytmiczny rozwój AI</w:t>
      </w:r>
      <w:r w:rsidR="00D716EB">
        <w:rPr>
          <w:rFonts w:ascii="Tahoma" w:hAnsi="Tahoma" w:cs="Tahoma"/>
        </w:rPr>
        <w:t xml:space="preserve"> pozostają bez zmian</w:t>
      </w:r>
      <w:r w:rsidR="0084776E">
        <w:rPr>
          <w:rFonts w:ascii="Tahoma" w:hAnsi="Tahoma" w:cs="Tahoma"/>
        </w:rPr>
        <w:t>.</w:t>
      </w:r>
    </w:p>
    <w:p w14:paraId="22A42FFD" w14:textId="77777777" w:rsidR="00B037F1" w:rsidRDefault="00B037F1" w:rsidP="00445F50">
      <w:pPr>
        <w:pStyle w:val="Nagwek1"/>
        <w:rPr>
          <w:b/>
          <w:bCs/>
        </w:rPr>
      </w:pPr>
      <w:r w:rsidRPr="00445F50">
        <w:rPr>
          <w:b/>
          <w:bCs/>
        </w:rPr>
        <w:t>WALUTY</w:t>
      </w:r>
    </w:p>
    <w:p w14:paraId="7D21DEDE" w14:textId="77777777" w:rsidR="00445F50" w:rsidRPr="00445F50" w:rsidRDefault="00445F50" w:rsidP="00445F50"/>
    <w:p w14:paraId="4CEF2C19" w14:textId="301FD261" w:rsidR="00445F50" w:rsidRDefault="00D53415" w:rsidP="00B832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B037F1" w:rsidRPr="00B832EE">
        <w:rPr>
          <w:rFonts w:ascii="Tahoma" w:hAnsi="Tahoma" w:cs="Tahoma"/>
        </w:rPr>
        <w:t xml:space="preserve">estawienie </w:t>
      </w:r>
      <w:r w:rsidR="00B832EE">
        <w:rPr>
          <w:rFonts w:ascii="Tahoma" w:hAnsi="Tahoma" w:cs="Tahoma"/>
        </w:rPr>
        <w:t xml:space="preserve">za czerwiec nie wygląda </w:t>
      </w:r>
      <w:r>
        <w:rPr>
          <w:rFonts w:ascii="Tahoma" w:hAnsi="Tahoma" w:cs="Tahoma"/>
        </w:rPr>
        <w:t xml:space="preserve">dla złotego </w:t>
      </w:r>
      <w:r w:rsidR="00B832EE">
        <w:rPr>
          <w:rFonts w:ascii="Tahoma" w:hAnsi="Tahoma" w:cs="Tahoma"/>
        </w:rPr>
        <w:t>dobrze</w:t>
      </w:r>
      <w:r w:rsidR="00B037F1" w:rsidRPr="00B832EE">
        <w:rPr>
          <w:rFonts w:ascii="Tahoma" w:hAnsi="Tahoma" w:cs="Tahoma"/>
        </w:rPr>
        <w:t xml:space="preserve">. </w:t>
      </w:r>
      <w:r w:rsidR="004973CE">
        <w:rPr>
          <w:rFonts w:ascii="Tahoma" w:hAnsi="Tahoma" w:cs="Tahoma"/>
        </w:rPr>
        <w:t xml:space="preserve">Na mecie </w:t>
      </w:r>
      <w:r w:rsidR="004973CE" w:rsidRPr="00445F50">
        <w:rPr>
          <w:rFonts w:ascii="Tahoma" w:hAnsi="Tahoma" w:cs="Tahoma"/>
          <w:b/>
          <w:bCs/>
        </w:rPr>
        <w:t>z</w:t>
      </w:r>
      <w:r w:rsidR="00B037F1" w:rsidRPr="00445F50">
        <w:rPr>
          <w:rFonts w:ascii="Tahoma" w:hAnsi="Tahoma" w:cs="Tahoma"/>
          <w:b/>
          <w:bCs/>
        </w:rPr>
        <w:t>łoty traci ok. 1,5% w stosunku do amerykańskiego dolara, gdyż para USDPLN startowała na początku czerwca z okolic poziomu 3,95</w:t>
      </w:r>
      <w:r w:rsidR="00B037F1" w:rsidRPr="00B832EE">
        <w:rPr>
          <w:rFonts w:ascii="Tahoma" w:hAnsi="Tahoma" w:cs="Tahoma"/>
        </w:rPr>
        <w:t xml:space="preserve">. </w:t>
      </w:r>
      <w:r w:rsidR="004973CE">
        <w:rPr>
          <w:rFonts w:ascii="Tahoma" w:hAnsi="Tahoma" w:cs="Tahoma"/>
        </w:rPr>
        <w:t>Po rajdzie na 4,10 nastąpił dość zastanawiający</w:t>
      </w:r>
      <w:r w:rsidR="00B037F1" w:rsidRPr="00B832EE">
        <w:rPr>
          <w:rFonts w:ascii="Tahoma" w:hAnsi="Tahoma" w:cs="Tahoma"/>
        </w:rPr>
        <w:t xml:space="preserve"> powrót pary poniżej 4,00zł</w:t>
      </w:r>
      <w:r>
        <w:rPr>
          <w:rFonts w:ascii="Tahoma" w:hAnsi="Tahoma" w:cs="Tahoma"/>
        </w:rPr>
        <w:t xml:space="preserve"> w trzecim tygodniu czerwca</w:t>
      </w:r>
      <w:r w:rsidR="004973CE">
        <w:rPr>
          <w:rFonts w:ascii="Tahoma" w:hAnsi="Tahoma" w:cs="Tahoma"/>
        </w:rPr>
        <w:t>.</w:t>
      </w:r>
      <w:r w:rsidR="00B037F1" w:rsidRPr="00B832EE">
        <w:rPr>
          <w:rFonts w:ascii="Tahoma" w:hAnsi="Tahoma" w:cs="Tahoma"/>
        </w:rPr>
        <w:t xml:space="preserve"> </w:t>
      </w:r>
      <w:r w:rsidR="004973CE">
        <w:rPr>
          <w:rFonts w:ascii="Tahoma" w:hAnsi="Tahoma" w:cs="Tahoma"/>
        </w:rPr>
        <w:t>Złoty zachowywał się przeciwnie do konstatacji płynących z</w:t>
      </w:r>
      <w:r w:rsidR="00B037F1" w:rsidRPr="00B832EE">
        <w:rPr>
          <w:rFonts w:ascii="Tahoma" w:hAnsi="Tahoma" w:cs="Tahoma"/>
        </w:rPr>
        <w:t xml:space="preserve"> ostatni</w:t>
      </w:r>
      <w:r w:rsidR="004973CE">
        <w:rPr>
          <w:rFonts w:ascii="Tahoma" w:hAnsi="Tahoma" w:cs="Tahoma"/>
        </w:rPr>
        <w:t>ch</w:t>
      </w:r>
      <w:r w:rsidR="00B037F1" w:rsidRPr="00B832EE">
        <w:rPr>
          <w:rFonts w:ascii="Tahoma" w:hAnsi="Tahoma" w:cs="Tahoma"/>
        </w:rPr>
        <w:t xml:space="preserve"> dan</w:t>
      </w:r>
      <w:r w:rsidR="004973CE">
        <w:rPr>
          <w:rFonts w:ascii="Tahoma" w:hAnsi="Tahoma" w:cs="Tahoma"/>
        </w:rPr>
        <w:t>ych</w:t>
      </w:r>
      <w:r w:rsidR="00B037F1" w:rsidRPr="00B832EE">
        <w:rPr>
          <w:rFonts w:ascii="Tahoma" w:hAnsi="Tahoma" w:cs="Tahoma"/>
        </w:rPr>
        <w:t xml:space="preserve"> z polskiej czy europejskiej gospodarki. Produkcja przemysłowa za maj wypadła bardzo nisko, spadając aż o 1,7% r/r przy oczekiwaniu wzrostu na poziomie 1,5%. Sprzedaż detaliczna wzrosła, ale mniej od oczekiwań na poziomie 5,4% r/r przy oczekiwaniu 5,7% r/r. Mamy również spadek na poziomie 0,1% m/m. Oczywiście może to być związane po części z czynnikami kalendarzowymi, ale warto zwrócić uwagę na to, że pozostałe europejskie gospodarki, które są głównymi partnerami handlowymi Polski, nie radzą sobie najlepiej. Indeksy PMI wstępnie dla Francji i Niemiec zanurkowały mocno w dół,</w:t>
      </w:r>
      <w:r w:rsidR="00B832EE">
        <w:rPr>
          <w:rFonts w:ascii="Tahoma" w:hAnsi="Tahoma" w:cs="Tahoma"/>
        </w:rPr>
        <w:t xml:space="preserve"> </w:t>
      </w:r>
      <w:r w:rsidR="00B037F1" w:rsidRPr="00B832EE">
        <w:rPr>
          <w:rFonts w:ascii="Tahoma" w:hAnsi="Tahoma" w:cs="Tahoma"/>
        </w:rPr>
        <w:t>wskazując na mniejsze ożywienie w drugim kwartale tego roku.</w:t>
      </w:r>
      <w:r w:rsidR="00A06B25" w:rsidRPr="00B832EE">
        <w:rPr>
          <w:rFonts w:ascii="Tahoma" w:hAnsi="Tahoma" w:cs="Tahoma"/>
        </w:rPr>
        <w:t xml:space="preserve"> </w:t>
      </w:r>
      <w:r w:rsidR="00A06B25" w:rsidRPr="00B832EE">
        <w:rPr>
          <w:rStyle w:val="markedcontent"/>
          <w:rFonts w:ascii="Tahoma" w:hAnsi="Tahoma" w:cs="Tahoma"/>
        </w:rPr>
        <w:t xml:space="preserve">Na pierwszą połowę przyszłego roku </w:t>
      </w:r>
      <w:r w:rsidR="00A06B25" w:rsidRPr="00445F50">
        <w:rPr>
          <w:rStyle w:val="markedcontent"/>
          <w:rFonts w:ascii="Tahoma" w:hAnsi="Tahoma" w:cs="Tahoma"/>
          <w:b/>
          <w:bCs/>
        </w:rPr>
        <w:t>planowana jest druga</w:t>
      </w:r>
      <w:r w:rsidR="00B832EE" w:rsidRPr="00445F50">
        <w:rPr>
          <w:rStyle w:val="markedcontent"/>
          <w:rFonts w:ascii="Tahoma" w:hAnsi="Tahoma" w:cs="Tahoma"/>
          <w:b/>
          <w:bCs/>
        </w:rPr>
        <w:t xml:space="preserve"> r</w:t>
      </w:r>
      <w:r w:rsidR="00A06B25" w:rsidRPr="00445F50">
        <w:rPr>
          <w:rStyle w:val="markedcontent"/>
          <w:rFonts w:ascii="Tahoma" w:hAnsi="Tahoma" w:cs="Tahoma"/>
          <w:b/>
          <w:bCs/>
        </w:rPr>
        <w:t>ewizja KPO</w:t>
      </w:r>
      <w:r w:rsidR="004973CE">
        <w:rPr>
          <w:rStyle w:val="markedcontent"/>
          <w:rFonts w:ascii="Tahoma" w:hAnsi="Tahoma" w:cs="Tahoma"/>
        </w:rPr>
        <w:t>.</w:t>
      </w:r>
      <w:r w:rsidR="00A06B25" w:rsidRPr="00B832EE">
        <w:rPr>
          <w:rStyle w:val="markedcontent"/>
          <w:rFonts w:ascii="Tahoma" w:hAnsi="Tahoma" w:cs="Tahoma"/>
        </w:rPr>
        <w:t xml:space="preserve"> </w:t>
      </w:r>
      <w:r w:rsidR="004973CE">
        <w:rPr>
          <w:rStyle w:val="markedcontent"/>
          <w:rFonts w:ascii="Tahoma" w:hAnsi="Tahoma" w:cs="Tahoma"/>
        </w:rPr>
        <w:t>C</w:t>
      </w:r>
      <w:r w:rsidR="00B832EE">
        <w:rPr>
          <w:rFonts w:ascii="Tahoma" w:hAnsi="Tahoma" w:cs="Tahoma"/>
        </w:rPr>
        <w:t>elem rewizji ma być „poprzestawianie i oddzielenie tych rzeczy, które da się zrobić, od tych których nie da się zrobić”</w:t>
      </w:r>
      <w:r w:rsidR="004973CE">
        <w:rPr>
          <w:rFonts w:ascii="Tahoma" w:hAnsi="Tahoma" w:cs="Tahoma"/>
        </w:rPr>
        <w:t xml:space="preserve"> (cyt. za </w:t>
      </w:r>
      <w:proofErr w:type="spellStart"/>
      <w:r w:rsidR="004973CE">
        <w:rPr>
          <w:rFonts w:ascii="Tahoma" w:hAnsi="Tahoma" w:cs="Tahoma"/>
        </w:rPr>
        <w:t>Ministrą</w:t>
      </w:r>
      <w:proofErr w:type="spellEnd"/>
      <w:r w:rsidR="004973CE">
        <w:rPr>
          <w:rFonts w:ascii="Tahoma" w:hAnsi="Tahoma" w:cs="Tahoma"/>
        </w:rPr>
        <w:t xml:space="preserve"> Pełczyńską) – genialne w swej prostocie, prawda…?</w:t>
      </w:r>
      <w:r w:rsidR="00B832EE">
        <w:rPr>
          <w:rFonts w:ascii="Tahoma" w:hAnsi="Tahoma" w:cs="Tahoma"/>
        </w:rPr>
        <w:t xml:space="preserve">. </w:t>
      </w:r>
      <w:r w:rsidR="00A06B25" w:rsidRPr="00B832EE">
        <w:rPr>
          <w:rFonts w:ascii="Tahoma" w:hAnsi="Tahoma" w:cs="Tahoma"/>
        </w:rPr>
        <w:t>Obecna rewizja KPO powinna być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sfinalizowana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z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końcem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lipca,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a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pod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koniec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wakacji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ma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zostać złożony drugi i trzeci wniosek o płatność.</w:t>
      </w:r>
      <w:r w:rsidR="00B832EE">
        <w:rPr>
          <w:rFonts w:ascii="Tahoma" w:hAnsi="Tahoma" w:cs="Tahoma"/>
        </w:rPr>
        <w:t xml:space="preserve"> Nie </w:t>
      </w:r>
      <w:r w:rsidR="00A06B25" w:rsidRPr="00B832EE">
        <w:rPr>
          <w:rFonts w:ascii="Tahoma" w:hAnsi="Tahoma" w:cs="Tahoma"/>
        </w:rPr>
        <w:t>wyklucz</w:t>
      </w:r>
      <w:r w:rsidR="00B832EE">
        <w:rPr>
          <w:rFonts w:ascii="Tahoma" w:hAnsi="Tahoma" w:cs="Tahoma"/>
        </w:rPr>
        <w:t>one</w:t>
      </w:r>
      <w:r w:rsidR="00A06B25" w:rsidRPr="00B832EE">
        <w:rPr>
          <w:rFonts w:ascii="Tahoma" w:hAnsi="Tahoma" w:cs="Tahoma"/>
        </w:rPr>
        <w:t>,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iż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czwarty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i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piąty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wniosek</w:t>
      </w:r>
      <w:r w:rsidR="00B832EE">
        <w:rPr>
          <w:rFonts w:ascii="Tahoma" w:hAnsi="Tahoma" w:cs="Tahoma"/>
        </w:rPr>
        <w:t xml:space="preserve"> </w:t>
      </w:r>
      <w:r w:rsidR="00A06B25" w:rsidRPr="00B832EE">
        <w:rPr>
          <w:rFonts w:ascii="Tahoma" w:hAnsi="Tahoma" w:cs="Tahoma"/>
        </w:rPr>
        <w:t>zostanie złożony na początku przyszłego rok</w:t>
      </w:r>
      <w:r w:rsidR="00B832EE">
        <w:rPr>
          <w:rFonts w:ascii="Tahoma" w:hAnsi="Tahoma" w:cs="Tahoma"/>
        </w:rPr>
        <w:t xml:space="preserve">u. To dla notowań złotego bardzo ważne, bo </w:t>
      </w:r>
      <w:r>
        <w:rPr>
          <w:rFonts w:ascii="Tahoma" w:hAnsi="Tahoma" w:cs="Tahoma"/>
        </w:rPr>
        <w:t>miliardy EURO wymieniane na złotówki, powinny złotego zachęcać do wzrostów.</w:t>
      </w:r>
      <w:r w:rsidR="004973CE">
        <w:rPr>
          <w:rFonts w:ascii="Tahoma" w:hAnsi="Tahoma" w:cs="Tahoma"/>
        </w:rPr>
        <w:t xml:space="preserve"> </w:t>
      </w:r>
      <w:r w:rsidR="002916AF">
        <w:rPr>
          <w:rFonts w:ascii="Tahoma" w:hAnsi="Tahoma" w:cs="Tahoma"/>
        </w:rPr>
        <w:t>To w dłuższym terminie.</w:t>
      </w:r>
      <w:r w:rsidR="00B832EE">
        <w:rPr>
          <w:rFonts w:ascii="Tahoma" w:hAnsi="Tahoma" w:cs="Tahoma"/>
        </w:rPr>
        <w:t xml:space="preserve"> </w:t>
      </w:r>
      <w:r w:rsidR="002916AF">
        <w:rPr>
          <w:rFonts w:ascii="Tahoma" w:hAnsi="Tahoma" w:cs="Tahoma"/>
        </w:rPr>
        <w:t xml:space="preserve">Notowania walutowe w lipcu „ustawią” wybory </w:t>
      </w:r>
      <w:r w:rsidR="002916AF" w:rsidRPr="002916AF">
        <w:rPr>
          <w:rFonts w:ascii="Tahoma" w:hAnsi="Tahoma" w:cs="Tahoma"/>
        </w:rPr>
        <w:t>we Francji, a także dan</w:t>
      </w:r>
      <w:r w:rsidR="002916AF">
        <w:rPr>
          <w:rFonts w:ascii="Tahoma" w:hAnsi="Tahoma" w:cs="Tahoma"/>
        </w:rPr>
        <w:t>e</w:t>
      </w:r>
      <w:r w:rsidR="002916AF" w:rsidRPr="002916AF">
        <w:rPr>
          <w:rFonts w:ascii="Tahoma" w:hAnsi="Tahoma" w:cs="Tahoma"/>
        </w:rPr>
        <w:t xml:space="preserve"> makro z USA w pierwszej połowie </w:t>
      </w:r>
      <w:r w:rsidR="004973CE">
        <w:rPr>
          <w:rFonts w:ascii="Tahoma" w:hAnsi="Tahoma" w:cs="Tahoma"/>
        </w:rPr>
        <w:t>rozpoczynającego się</w:t>
      </w:r>
      <w:r w:rsidR="002916AF" w:rsidRPr="002916AF">
        <w:rPr>
          <w:rFonts w:ascii="Tahoma" w:hAnsi="Tahoma" w:cs="Tahoma"/>
        </w:rPr>
        <w:t xml:space="preserve"> miesiąca. Sytuacja w której mamy rząd mniejszościowy populistów od Le Pen</w:t>
      </w:r>
      <w:r w:rsidR="004973CE">
        <w:rPr>
          <w:rFonts w:ascii="Tahoma" w:hAnsi="Tahoma" w:cs="Tahoma"/>
        </w:rPr>
        <w:t>,</w:t>
      </w:r>
      <w:r w:rsidR="002916AF" w:rsidRPr="002916AF">
        <w:rPr>
          <w:rFonts w:ascii="Tahoma" w:hAnsi="Tahoma" w:cs="Tahoma"/>
        </w:rPr>
        <w:t xml:space="preserve"> może być już uwzględniona przez rynki, a dane z USA pokażą, czy słusznie</w:t>
      </w:r>
      <w:r w:rsidR="004973CE">
        <w:rPr>
          <w:rFonts w:ascii="Tahoma" w:hAnsi="Tahoma" w:cs="Tahoma"/>
        </w:rPr>
        <w:t xml:space="preserve"> inwestorzy wierzą w</w:t>
      </w:r>
      <w:r w:rsidR="002916AF" w:rsidRPr="002916AF">
        <w:rPr>
          <w:rFonts w:ascii="Tahoma" w:hAnsi="Tahoma" w:cs="Tahoma"/>
        </w:rPr>
        <w:t xml:space="preserve"> szanse na cięcie stóp przez FED we wrześniu.</w:t>
      </w:r>
      <w:r w:rsidR="002916AF">
        <w:rPr>
          <w:rFonts w:ascii="Tahoma" w:hAnsi="Tahoma" w:cs="Tahoma"/>
        </w:rPr>
        <w:t xml:space="preserve"> Zwiększanie się prawdopodobieństwa obniżki w USA to deprecjacja dolara i szansa dla złotego.</w:t>
      </w:r>
    </w:p>
    <w:p w14:paraId="7598D987" w14:textId="77777777" w:rsidR="00445F50" w:rsidRDefault="00445F50" w:rsidP="00B832EE">
      <w:pPr>
        <w:jc w:val="both"/>
        <w:rPr>
          <w:rFonts w:ascii="Tahoma" w:hAnsi="Tahoma" w:cs="Tahoma"/>
        </w:rPr>
      </w:pPr>
    </w:p>
    <w:p w14:paraId="5F353515" w14:textId="0E7BAC01" w:rsidR="00445F50" w:rsidRDefault="00445F50" w:rsidP="00B832EE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49DA557" wp14:editId="54D11952">
            <wp:extent cx="1666782" cy="532040"/>
            <wp:effectExtent l="0" t="0" r="0" b="1905"/>
            <wp:docPr id="5208951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95167" name="Obraz 5208951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82" cy="5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022F" w14:textId="244AA8AA" w:rsidR="00445F50" w:rsidRDefault="00445F50" w:rsidP="00B832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Marcin Lau, </w:t>
      </w:r>
    </w:p>
    <w:p w14:paraId="16A9B324" w14:textId="351A3F08" w:rsidR="00445F50" w:rsidRDefault="00445F50" w:rsidP="00B832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Główny Analityk Phinance S.A.</w:t>
      </w:r>
    </w:p>
    <w:p w14:paraId="17716602" w14:textId="77777777" w:rsidR="00445F50" w:rsidRDefault="00445F50" w:rsidP="00B832EE">
      <w:pPr>
        <w:jc w:val="both"/>
        <w:rPr>
          <w:rFonts w:ascii="Tahoma" w:hAnsi="Tahoma" w:cs="Tahoma"/>
        </w:rPr>
      </w:pPr>
    </w:p>
    <w:p w14:paraId="0BE0C4EC" w14:textId="27923C4B" w:rsidR="00445F50" w:rsidRPr="00445F50" w:rsidRDefault="00445F50" w:rsidP="00B832EE">
      <w:pPr>
        <w:jc w:val="both"/>
        <w:rPr>
          <w:rFonts w:cstheme="minorHAnsi"/>
          <w:sz w:val="20"/>
          <w:szCs w:val="20"/>
        </w:rPr>
      </w:pPr>
      <w:r w:rsidRPr="00445F50">
        <w:rPr>
          <w:rFonts w:cstheme="minorHAnsi"/>
          <w:sz w:val="20"/>
          <w:szCs w:val="20"/>
        </w:rPr>
        <w:t>Powyższy komentarz nie jest rekomendacją w rozumieniu Rozporządzenia Ministra Finansów z 19 października 2005 roku. Został on sporządzony w celach informacyjnych i nie powinien stanowić podstawy do podejmowania decyzji inwestycyjnych. Ani autor ich opracowania, ani Phinance S.A., nie ponoszą odpowiedzialności za decyzje inwestycyjne podjęte na podstawie informacji zawartych w niniejszym komentarzu. Kopiowanie bądź powielanie niniejszego opracowania bez podania źródła jest niezgodne z prawem.</w:t>
      </w:r>
    </w:p>
    <w:sectPr w:rsidR="00445F50" w:rsidRPr="0044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9D551A"/>
    <w:multiLevelType w:val="multilevel"/>
    <w:tmpl w:val="07C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25D3B"/>
    <w:multiLevelType w:val="multilevel"/>
    <w:tmpl w:val="D37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646499">
    <w:abstractNumId w:val="0"/>
  </w:num>
  <w:num w:numId="2" w16cid:durableId="2103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9"/>
    <w:rsid w:val="000300F1"/>
    <w:rsid w:val="000742F8"/>
    <w:rsid w:val="00074E08"/>
    <w:rsid w:val="0009514A"/>
    <w:rsid w:val="00097CAA"/>
    <w:rsid w:val="000E0BB0"/>
    <w:rsid w:val="00183FA4"/>
    <w:rsid w:val="002916AF"/>
    <w:rsid w:val="002C4B30"/>
    <w:rsid w:val="00340620"/>
    <w:rsid w:val="003442C8"/>
    <w:rsid w:val="00445F50"/>
    <w:rsid w:val="00450767"/>
    <w:rsid w:val="00453720"/>
    <w:rsid w:val="004841F5"/>
    <w:rsid w:val="00490DE1"/>
    <w:rsid w:val="004973CE"/>
    <w:rsid w:val="00525215"/>
    <w:rsid w:val="005711D2"/>
    <w:rsid w:val="00573D9C"/>
    <w:rsid w:val="005823E0"/>
    <w:rsid w:val="005D5D1E"/>
    <w:rsid w:val="006D0B7E"/>
    <w:rsid w:val="006D493D"/>
    <w:rsid w:val="0070646C"/>
    <w:rsid w:val="00751CF1"/>
    <w:rsid w:val="0076020F"/>
    <w:rsid w:val="00793EA8"/>
    <w:rsid w:val="007B0261"/>
    <w:rsid w:val="0084776E"/>
    <w:rsid w:val="008A4016"/>
    <w:rsid w:val="008E15A6"/>
    <w:rsid w:val="009658D3"/>
    <w:rsid w:val="00A06B25"/>
    <w:rsid w:val="00A7458E"/>
    <w:rsid w:val="00AC693B"/>
    <w:rsid w:val="00B037F1"/>
    <w:rsid w:val="00B21007"/>
    <w:rsid w:val="00B26BA5"/>
    <w:rsid w:val="00B832EE"/>
    <w:rsid w:val="00BD5E2D"/>
    <w:rsid w:val="00C77FCD"/>
    <w:rsid w:val="00C92DA0"/>
    <w:rsid w:val="00D53415"/>
    <w:rsid w:val="00D716EB"/>
    <w:rsid w:val="00E04B90"/>
    <w:rsid w:val="00EE28C5"/>
    <w:rsid w:val="00F41029"/>
    <w:rsid w:val="00F52DE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E42"/>
  <w15:chartTrackingRefBased/>
  <w15:docId w15:val="{785033C4-91C1-4916-8326-9B79B50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5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5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410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1029"/>
    <w:rPr>
      <w:color w:val="0000FF"/>
      <w:u w:val="single"/>
    </w:rPr>
  </w:style>
  <w:style w:type="character" w:customStyle="1" w:styleId="market-news-single-share-title">
    <w:name w:val="market-news-single-share-title"/>
    <w:basedOn w:val="Domylnaczcionkaakapitu"/>
    <w:rsid w:val="00F41029"/>
  </w:style>
  <w:style w:type="paragraph" w:customStyle="1" w:styleId="articlebodyblock">
    <w:name w:val="articlebodyblock"/>
    <w:basedOn w:val="Normalny"/>
    <w:rsid w:val="00B0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06B25"/>
  </w:style>
  <w:style w:type="character" w:customStyle="1" w:styleId="lead">
    <w:name w:val="lead"/>
    <w:basedOn w:val="Domylnaczcionkaakapitu"/>
    <w:rsid w:val="000300F1"/>
  </w:style>
  <w:style w:type="character" w:customStyle="1" w:styleId="Nagwek1Znak">
    <w:name w:val="Nagłówek 1 Znak"/>
    <w:basedOn w:val="Domylnaczcionkaakapitu"/>
    <w:link w:val="Nagwek1"/>
    <w:uiPriority w:val="9"/>
    <w:rsid w:val="00445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5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5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Lau</dc:creator>
  <cp:keywords/>
  <dc:description/>
  <cp:lastModifiedBy>Diana Kot</cp:lastModifiedBy>
  <cp:revision>44</cp:revision>
  <dcterms:created xsi:type="dcterms:W3CDTF">2024-06-01T10:24:00Z</dcterms:created>
  <dcterms:modified xsi:type="dcterms:W3CDTF">2024-07-02T08:00:00Z</dcterms:modified>
</cp:coreProperties>
</file>