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B28E4" w14:textId="77777777" w:rsidR="004E661A" w:rsidRDefault="004E661A" w:rsidP="004E661A">
      <w:pPr>
        <w:rPr>
          <w:sz w:val="28"/>
          <w:szCs w:val="28"/>
        </w:rPr>
      </w:pPr>
      <w:r w:rsidRPr="003D1876">
        <w:rPr>
          <w:sz w:val="28"/>
          <w:szCs w:val="28"/>
        </w:rPr>
        <w:t>Ocena perspektyw klas aktywów:</w:t>
      </w:r>
    </w:p>
    <w:p w14:paraId="39FC9D3A" w14:textId="53973CE9" w:rsidR="004E661A" w:rsidRDefault="004E661A" w:rsidP="004E661A">
      <w:pPr>
        <w:rPr>
          <w:sz w:val="28"/>
          <w:szCs w:val="28"/>
        </w:rPr>
      </w:pPr>
      <w:r>
        <w:rPr>
          <w:sz w:val="28"/>
          <w:szCs w:val="28"/>
        </w:rPr>
        <w:t xml:space="preserve">Stan na </w:t>
      </w:r>
      <w:r w:rsidR="00682CB8">
        <w:rPr>
          <w:sz w:val="28"/>
          <w:szCs w:val="28"/>
        </w:rPr>
        <w:t>3</w:t>
      </w:r>
      <w:r w:rsidR="00EE373E">
        <w:rPr>
          <w:sz w:val="28"/>
          <w:szCs w:val="28"/>
        </w:rPr>
        <w:t>1</w:t>
      </w:r>
      <w:r>
        <w:rPr>
          <w:sz w:val="28"/>
          <w:szCs w:val="28"/>
        </w:rPr>
        <w:t>.0</w:t>
      </w:r>
      <w:r w:rsidR="00EE373E">
        <w:rPr>
          <w:sz w:val="28"/>
          <w:szCs w:val="28"/>
        </w:rPr>
        <w:t>5</w:t>
      </w:r>
      <w:r>
        <w:rPr>
          <w:sz w:val="28"/>
          <w:szCs w:val="28"/>
        </w:rPr>
        <w:t xml:space="preserve">.2024r godz. </w:t>
      </w:r>
      <w:r w:rsidR="00F96DDF">
        <w:rPr>
          <w:sz w:val="28"/>
          <w:szCs w:val="28"/>
        </w:rPr>
        <w:t>14.</w:t>
      </w:r>
      <w:r w:rsidR="005937B4">
        <w:rPr>
          <w:sz w:val="28"/>
          <w:szCs w:val="28"/>
        </w:rPr>
        <w:t>59</w:t>
      </w:r>
    </w:p>
    <w:p w14:paraId="2B289137" w14:textId="77777777" w:rsidR="004E661A" w:rsidRDefault="004E661A" w:rsidP="004E661A">
      <w:pPr>
        <w:rPr>
          <w:sz w:val="28"/>
          <w:szCs w:val="28"/>
        </w:rPr>
      </w:pPr>
      <w:r>
        <w:rPr>
          <w:sz w:val="28"/>
          <w:szCs w:val="28"/>
        </w:rPr>
        <w:t xml:space="preserve">AKCJE </w:t>
      </w:r>
    </w:p>
    <w:p w14:paraId="52AE964C" w14:textId="659108C5" w:rsidR="00C220F3" w:rsidRPr="00CC55EE" w:rsidRDefault="00727444" w:rsidP="004D5856">
      <w:pPr>
        <w:spacing w:before="100" w:beforeAutospacing="1" w:after="100" w:afterAutospacing="1" w:line="240" w:lineRule="auto"/>
        <w:jc w:val="both"/>
        <w:rPr>
          <w:rFonts w:ascii="Tahoma" w:hAnsi="Tahoma" w:cs="Tahoma"/>
          <w:sz w:val="24"/>
          <w:szCs w:val="24"/>
        </w:rPr>
      </w:pPr>
      <w:r w:rsidRPr="004D5856">
        <w:rPr>
          <w:rFonts w:ascii="Tahoma" w:eastAsia="Times New Roman" w:hAnsi="Tahoma" w:cs="Tahoma"/>
          <w:kern w:val="0"/>
          <w:sz w:val="24"/>
          <w:szCs w:val="24"/>
          <w:lang w:eastAsia="pl-PL"/>
          <w14:ligatures w14:val="none"/>
        </w:rPr>
        <w:t xml:space="preserve">Wyłączając ornitologiczne </w:t>
      </w:r>
      <w:r w:rsidR="00721525" w:rsidRPr="004D5856">
        <w:rPr>
          <w:rFonts w:ascii="Tahoma" w:eastAsia="Times New Roman" w:hAnsi="Tahoma" w:cs="Tahoma"/>
          <w:kern w:val="0"/>
          <w:sz w:val="24"/>
          <w:szCs w:val="24"/>
          <w:lang w:eastAsia="pl-PL"/>
          <w14:ligatures w14:val="none"/>
        </w:rPr>
        <w:t>metafory</w:t>
      </w:r>
      <w:r w:rsidRPr="004D5856">
        <w:rPr>
          <w:rFonts w:ascii="Tahoma" w:eastAsia="Times New Roman" w:hAnsi="Tahoma" w:cs="Tahoma"/>
          <w:kern w:val="0"/>
          <w:sz w:val="24"/>
          <w:szCs w:val="24"/>
          <w:lang w:eastAsia="pl-PL"/>
          <w14:ligatures w14:val="none"/>
        </w:rPr>
        <w:t xml:space="preserve"> („czarne łabędzie”) - kiedy rynki akcji zaczynają spadać? Jak wydaje się, że akcje mogą tylko rosnąć a pewność i zaufanie do rynku jest na bardzo wysokich poziomach. Taki stan można było wyczuć w końcówce maja. </w:t>
      </w:r>
      <w:r w:rsidR="00F96DDF">
        <w:rPr>
          <w:rFonts w:ascii="Tahoma" w:eastAsia="Times New Roman" w:hAnsi="Tahoma" w:cs="Tahoma"/>
          <w:kern w:val="0"/>
          <w:sz w:val="24"/>
          <w:szCs w:val="24"/>
          <w:lang w:eastAsia="pl-PL"/>
          <w14:ligatures w14:val="none"/>
        </w:rPr>
        <w:t>Kilka argumentów za niepokojącym poziomem optymizmu: pierwszy to wskazania indeksu VIX.</w:t>
      </w:r>
      <w:r w:rsidR="008676C7" w:rsidRPr="004D5856">
        <w:rPr>
          <w:rFonts w:ascii="Tahoma" w:eastAsia="Times New Roman" w:hAnsi="Tahoma" w:cs="Tahoma"/>
          <w:kern w:val="0"/>
          <w:sz w:val="24"/>
          <w:szCs w:val="24"/>
          <w:lang w:eastAsia="pl-PL"/>
          <w14:ligatures w14:val="none"/>
        </w:rPr>
        <w:t xml:space="preserve"> </w:t>
      </w:r>
      <w:r w:rsidR="008676C7" w:rsidRPr="004D5856">
        <w:rPr>
          <w:rFonts w:ascii="Tahoma" w:hAnsi="Tahoma" w:cs="Tahoma"/>
          <w:sz w:val="24"/>
          <w:szCs w:val="24"/>
        </w:rPr>
        <w:t xml:space="preserve">Indeks ten </w:t>
      </w:r>
      <w:r w:rsidR="00F96DDF">
        <w:rPr>
          <w:rFonts w:ascii="Tahoma" w:hAnsi="Tahoma" w:cs="Tahoma"/>
          <w:sz w:val="24"/>
          <w:szCs w:val="24"/>
        </w:rPr>
        <w:t>obrazuje</w:t>
      </w:r>
      <w:r w:rsidR="008676C7" w:rsidRPr="004D5856">
        <w:rPr>
          <w:rFonts w:ascii="Tahoma" w:hAnsi="Tahoma" w:cs="Tahoma"/>
          <w:sz w:val="24"/>
          <w:szCs w:val="24"/>
        </w:rPr>
        <w:t xml:space="preserve">, jakiej zmienności oczekuje rynek na podstawie opcji na S&amp;P500, w skali roku. Obecny bardzo niski poziom </w:t>
      </w:r>
      <w:r w:rsidR="00F96DDF">
        <w:rPr>
          <w:rFonts w:ascii="Tahoma" w:hAnsi="Tahoma" w:cs="Tahoma"/>
          <w:sz w:val="24"/>
          <w:szCs w:val="24"/>
        </w:rPr>
        <w:t>(</w:t>
      </w:r>
      <w:r w:rsidR="008676C7" w:rsidRPr="004D5856">
        <w:rPr>
          <w:rFonts w:ascii="Tahoma" w:hAnsi="Tahoma" w:cs="Tahoma"/>
          <w:sz w:val="24"/>
          <w:szCs w:val="24"/>
        </w:rPr>
        <w:t>12 pkt.</w:t>
      </w:r>
      <w:r w:rsidR="00F96DDF">
        <w:rPr>
          <w:rFonts w:ascii="Tahoma" w:hAnsi="Tahoma" w:cs="Tahoma"/>
          <w:sz w:val="24"/>
          <w:szCs w:val="24"/>
        </w:rPr>
        <w:t>)</w:t>
      </w:r>
      <w:r w:rsidR="008676C7" w:rsidRPr="004D5856">
        <w:rPr>
          <w:rFonts w:ascii="Tahoma" w:hAnsi="Tahoma" w:cs="Tahoma"/>
          <w:sz w:val="24"/>
          <w:szCs w:val="24"/>
        </w:rPr>
        <w:t xml:space="preserve"> oznacza oczekiwanie, że zmiana wartości indeksu S&amp;P500 może osiągnąć w rok 12 proc. Kiedy indeks VIX spada naprawdę nisko - tak jak ma to miejsce obecnie - główne indeksy giełdowe mają tendencję do osiągania nowych maksimów, a inwestorzy nie widzą żadnych niebezpieczeństw na horyzoncie. </w:t>
      </w:r>
      <w:r w:rsidR="00F96DDF">
        <w:rPr>
          <w:rFonts w:ascii="Tahoma" w:hAnsi="Tahoma" w:cs="Tahoma"/>
          <w:sz w:val="24"/>
          <w:szCs w:val="24"/>
        </w:rPr>
        <w:t>Tak jakby inwestorzy zapominali</w:t>
      </w:r>
      <w:r w:rsidR="008676C7" w:rsidRPr="004D5856">
        <w:rPr>
          <w:rFonts w:ascii="Tahoma" w:hAnsi="Tahoma" w:cs="Tahoma"/>
          <w:sz w:val="24"/>
          <w:szCs w:val="24"/>
        </w:rPr>
        <w:t>, że zmienność jest sinusoidą. Po okresach niskiej zmienności – a taki okres mamy teraz - przychodzą okresy wysokiej zmienności…</w:t>
      </w:r>
      <w:r w:rsidR="00721525" w:rsidRPr="004D5856">
        <w:rPr>
          <w:rFonts w:ascii="Tahoma" w:hAnsi="Tahoma" w:cs="Tahoma"/>
          <w:sz w:val="24"/>
          <w:szCs w:val="24"/>
        </w:rPr>
        <w:t xml:space="preserve"> Dla inwestorów zorientowanych na opcje</w:t>
      </w:r>
      <w:r w:rsidR="00B6593B">
        <w:rPr>
          <w:rFonts w:ascii="Tahoma" w:hAnsi="Tahoma" w:cs="Tahoma"/>
          <w:sz w:val="24"/>
          <w:szCs w:val="24"/>
        </w:rPr>
        <w:t>, tak</w:t>
      </w:r>
      <w:r w:rsidR="00721525" w:rsidRPr="004D5856">
        <w:rPr>
          <w:rFonts w:ascii="Tahoma" w:hAnsi="Tahoma" w:cs="Tahoma"/>
          <w:sz w:val="24"/>
          <w:szCs w:val="24"/>
        </w:rPr>
        <w:t xml:space="preserve"> niski poziom VIX oznacza, że ​​te na indeks S&amp;P 500 i wiele jego akcji składowych są wyceniane bez premii za ryzyko... Nieistotne różnice w zmienności opcji kupna i sprzedaży sugerują, że inwestorzy podchodzą bardzo optymistycznie (zbyt optymistycznie?) do akcji. W całej historii niskie odczyty VIX poprzedzały osłabienie akcji, a wysokie odczyty VIX poprzedzały siłę akcji. </w:t>
      </w:r>
      <w:r w:rsidR="00995862" w:rsidRPr="004D5856">
        <w:rPr>
          <w:rFonts w:ascii="Tahoma" w:hAnsi="Tahoma" w:cs="Tahoma"/>
          <w:sz w:val="24"/>
          <w:szCs w:val="24"/>
        </w:rPr>
        <w:t>W realnej gospodarce, prawie bez echa przeszło zaostrzenie wojny handlowej USA – Chiny. Nowe taryfy celne na samochody elektryczne (z 25% do 100%), półprzewodniki (z 25% do 50%), baterie do aut elektrycznych (z 7,5% do 25%), panele fotowoltaiczne (z 25% na 50%) oraz stal i aluminium (0-7,5% do 25%) robią wrażenie... W walce z inflacją to raczej nie pomoże</w:t>
      </w:r>
      <w:r w:rsidR="00B6593B">
        <w:rPr>
          <w:rFonts w:ascii="Tahoma" w:hAnsi="Tahoma" w:cs="Tahoma"/>
          <w:sz w:val="24"/>
          <w:szCs w:val="24"/>
        </w:rPr>
        <w:t>. W</w:t>
      </w:r>
      <w:r w:rsidR="00995862" w:rsidRPr="004D5856">
        <w:rPr>
          <w:rFonts w:ascii="Tahoma" w:hAnsi="Tahoma" w:cs="Tahoma"/>
          <w:sz w:val="24"/>
          <w:szCs w:val="24"/>
        </w:rPr>
        <w:t xml:space="preserve"> </w:t>
      </w:r>
      <w:r w:rsidR="00A32BBB">
        <w:rPr>
          <w:rFonts w:ascii="Tahoma" w:hAnsi="Tahoma" w:cs="Tahoma"/>
          <w:sz w:val="24"/>
          <w:szCs w:val="24"/>
        </w:rPr>
        <w:t>ciemniejszym</w:t>
      </w:r>
      <w:r w:rsidR="00995862" w:rsidRPr="004D5856">
        <w:rPr>
          <w:rFonts w:ascii="Tahoma" w:hAnsi="Tahoma" w:cs="Tahoma"/>
          <w:sz w:val="24"/>
          <w:szCs w:val="24"/>
        </w:rPr>
        <w:t xml:space="preserve"> świetle stawia też </w:t>
      </w:r>
      <w:r w:rsidR="00A32BBB">
        <w:rPr>
          <w:rFonts w:ascii="Tahoma" w:hAnsi="Tahoma" w:cs="Tahoma"/>
          <w:sz w:val="24"/>
          <w:szCs w:val="24"/>
        </w:rPr>
        <w:t xml:space="preserve">perspektywy </w:t>
      </w:r>
      <w:r w:rsidR="00995862" w:rsidRPr="004D5856">
        <w:rPr>
          <w:rFonts w:ascii="Tahoma" w:hAnsi="Tahoma" w:cs="Tahoma"/>
          <w:sz w:val="24"/>
          <w:szCs w:val="24"/>
        </w:rPr>
        <w:t>chińsk</w:t>
      </w:r>
      <w:r w:rsidR="00A32BBB">
        <w:rPr>
          <w:rFonts w:ascii="Tahoma" w:hAnsi="Tahoma" w:cs="Tahoma"/>
          <w:sz w:val="24"/>
          <w:szCs w:val="24"/>
        </w:rPr>
        <w:t>iej</w:t>
      </w:r>
      <w:r w:rsidR="00995862" w:rsidRPr="004D5856">
        <w:rPr>
          <w:rFonts w:ascii="Tahoma" w:hAnsi="Tahoma" w:cs="Tahoma"/>
          <w:sz w:val="24"/>
          <w:szCs w:val="24"/>
        </w:rPr>
        <w:t xml:space="preserve"> gospodark</w:t>
      </w:r>
      <w:r w:rsidR="00A32BBB">
        <w:rPr>
          <w:rFonts w:ascii="Tahoma" w:hAnsi="Tahoma" w:cs="Tahoma"/>
          <w:sz w:val="24"/>
          <w:szCs w:val="24"/>
        </w:rPr>
        <w:t>i</w:t>
      </w:r>
      <w:r w:rsidR="00995862" w:rsidRPr="004D5856">
        <w:rPr>
          <w:rFonts w:ascii="Tahoma" w:hAnsi="Tahoma" w:cs="Tahoma"/>
          <w:sz w:val="24"/>
          <w:szCs w:val="24"/>
        </w:rPr>
        <w:t>.</w:t>
      </w:r>
      <w:r w:rsidR="00A32BBB">
        <w:rPr>
          <w:rFonts w:ascii="Tahoma" w:hAnsi="Tahoma" w:cs="Tahoma"/>
          <w:sz w:val="24"/>
          <w:szCs w:val="24"/>
        </w:rPr>
        <w:t xml:space="preserve"> </w:t>
      </w:r>
      <w:r w:rsidR="00995862" w:rsidRPr="004D5856">
        <w:rPr>
          <w:rFonts w:ascii="Tahoma" w:hAnsi="Tahoma" w:cs="Tahoma"/>
          <w:sz w:val="24"/>
          <w:szCs w:val="24"/>
        </w:rPr>
        <w:t>P</w:t>
      </w:r>
      <w:r w:rsidR="00721525" w:rsidRPr="004D5856">
        <w:rPr>
          <w:rFonts w:ascii="Tahoma" w:hAnsi="Tahoma" w:cs="Tahoma"/>
          <w:sz w:val="24"/>
          <w:szCs w:val="24"/>
        </w:rPr>
        <w:t>rzykładem euforycznych nastrojów jest zmiana prognoz w górę. Przykuwa uwagę biała flaga wywieszona przez czołowego niedźwiedzia z Wall Street Mike Wilsona, głównego stratega Morgan Stanley, który podniósł target dla indeksu S&amp;P500 w horyzoncie 12 miesięcy o 20%. Z prognozowanego wcześniej poziomu 4500 do poziomu 5400.</w:t>
      </w:r>
      <w:r w:rsidR="006F6F9D" w:rsidRPr="004D5856">
        <w:rPr>
          <w:rFonts w:ascii="Tahoma" w:hAnsi="Tahoma" w:cs="Tahoma"/>
          <w:sz w:val="24"/>
          <w:szCs w:val="24"/>
        </w:rPr>
        <w:t xml:space="preserve"> </w:t>
      </w:r>
      <w:r w:rsidR="00F96DDF">
        <w:rPr>
          <w:rFonts w:ascii="Tahoma" w:hAnsi="Tahoma" w:cs="Tahoma"/>
          <w:sz w:val="24"/>
          <w:szCs w:val="24"/>
        </w:rPr>
        <w:t>Z</w:t>
      </w:r>
      <w:r w:rsidR="006F6F9D" w:rsidRPr="004D5856">
        <w:rPr>
          <w:rFonts w:ascii="Tahoma" w:hAnsi="Tahoma" w:cs="Tahoma"/>
          <w:sz w:val="24"/>
          <w:szCs w:val="24"/>
        </w:rPr>
        <w:t xml:space="preserve"> dużych banków inwestycyjnych niedźwiedzio nastawieni pozostają już tylko analitycy JP Morgan, który nadal utrzymują swój </w:t>
      </w:r>
      <w:r w:rsidR="00B6593B">
        <w:rPr>
          <w:rFonts w:ascii="Tahoma" w:hAnsi="Tahoma" w:cs="Tahoma"/>
          <w:sz w:val="24"/>
          <w:szCs w:val="24"/>
        </w:rPr>
        <w:t>cel</w:t>
      </w:r>
      <w:r w:rsidR="006F6F9D" w:rsidRPr="004D5856">
        <w:rPr>
          <w:rFonts w:ascii="Tahoma" w:hAnsi="Tahoma" w:cs="Tahoma"/>
          <w:sz w:val="24"/>
          <w:szCs w:val="24"/>
        </w:rPr>
        <w:t xml:space="preserve"> dla S&amp;P500 na poziomie 4200 pkt. </w:t>
      </w:r>
      <w:r w:rsidR="00B6593B">
        <w:rPr>
          <w:rFonts w:ascii="Tahoma" w:hAnsi="Tahoma" w:cs="Tahoma"/>
          <w:sz w:val="24"/>
          <w:szCs w:val="24"/>
        </w:rPr>
        <w:t xml:space="preserve">Większość oczekuje wzrostów. </w:t>
      </w:r>
      <w:r w:rsidR="00C16B04" w:rsidRPr="004D5856">
        <w:rPr>
          <w:rFonts w:ascii="Tahoma" w:hAnsi="Tahoma" w:cs="Tahoma"/>
          <w:sz w:val="24"/>
          <w:szCs w:val="24"/>
        </w:rPr>
        <w:t>I tak zwykle zmieniają się trendy, albo jak kto woli, zaczynają się długotrwałe korekty nazywane (o zgrozo!) realizacja zysków (bo kto odważy się nazwać je antycypowaniem strat?)</w:t>
      </w:r>
      <w:r w:rsidR="00C220F3" w:rsidRPr="004D5856">
        <w:rPr>
          <w:rFonts w:ascii="Tahoma" w:hAnsi="Tahoma" w:cs="Tahoma"/>
          <w:sz w:val="24"/>
          <w:szCs w:val="24"/>
        </w:rPr>
        <w:t>. Znane niewiadome, które mogą wywołać panikę wśród tłumu i zwiększyć VIX to raport o zatrudnieniu w sektorze pozarolniczym, który opublikowany zostanie  7 czerwca oraz raport dotyczący indeksu cen towarów i usług konsumenckich z 12 czerwca, który pokrywa się z decyzją Fed w sprawie stóp procentowych (prognoza: bez zmian).</w:t>
      </w:r>
      <w:r w:rsidR="00CC55EE" w:rsidRPr="004D5856">
        <w:rPr>
          <w:rFonts w:ascii="Tahoma" w:hAnsi="Tahoma" w:cs="Tahoma"/>
          <w:sz w:val="24"/>
          <w:szCs w:val="24"/>
        </w:rPr>
        <w:t xml:space="preserve"> Wydarzeniem rynkowym czerwca będzie też split najpopularniejszych akcji na świecie</w:t>
      </w:r>
      <w:r w:rsidR="000572B9">
        <w:rPr>
          <w:rFonts w:ascii="Tahoma" w:hAnsi="Tahoma" w:cs="Tahoma"/>
          <w:sz w:val="24"/>
          <w:szCs w:val="24"/>
        </w:rPr>
        <w:t>, który dokona się 7 czerwca</w:t>
      </w:r>
      <w:r w:rsidR="00CC55EE" w:rsidRPr="004D5856">
        <w:rPr>
          <w:rFonts w:ascii="Tahoma" w:hAnsi="Tahoma" w:cs="Tahoma"/>
          <w:sz w:val="24"/>
          <w:szCs w:val="24"/>
        </w:rPr>
        <w:t xml:space="preserve">. </w:t>
      </w:r>
      <w:r w:rsidR="00CC55EE" w:rsidRPr="004D5856">
        <w:rPr>
          <w:rFonts w:ascii="Tahoma" w:eastAsia="Times New Roman" w:hAnsi="Tahoma" w:cs="Tahoma"/>
          <w:kern w:val="0"/>
          <w:sz w:val="24"/>
          <w:szCs w:val="24"/>
          <w:lang w:eastAsia="pl-PL"/>
          <w14:ligatures w14:val="none"/>
        </w:rPr>
        <w:t>Rynkowa wycena Nvidii jest równie kosmiczna jak dynamika jej wyników finansowych. Spółka, która w całym ubiegłym roku obrotowym zarobiła na czysto niespełna 30 mld USD, warta jest ponad 2,38 biliona dolarów (zbliża się wyceną do Apple a potem większy będzie tylko M</w:t>
      </w:r>
      <w:r w:rsidR="006D01C7">
        <w:rPr>
          <w:rFonts w:ascii="Tahoma" w:eastAsia="Times New Roman" w:hAnsi="Tahoma" w:cs="Tahoma"/>
          <w:kern w:val="0"/>
          <w:sz w:val="24"/>
          <w:szCs w:val="24"/>
          <w:lang w:eastAsia="pl-PL"/>
          <w14:ligatures w14:val="none"/>
        </w:rPr>
        <w:t>i</w:t>
      </w:r>
      <w:r w:rsidR="00CC55EE" w:rsidRPr="004D5856">
        <w:rPr>
          <w:rFonts w:ascii="Tahoma" w:eastAsia="Times New Roman" w:hAnsi="Tahoma" w:cs="Tahoma"/>
          <w:kern w:val="0"/>
          <w:sz w:val="24"/>
          <w:szCs w:val="24"/>
          <w:lang w:eastAsia="pl-PL"/>
          <w14:ligatures w14:val="none"/>
        </w:rPr>
        <w:t xml:space="preserve">crosoft). </w:t>
      </w:r>
      <w:r w:rsidR="00F96DDF">
        <w:rPr>
          <w:rFonts w:ascii="Tahoma" w:eastAsia="Times New Roman" w:hAnsi="Tahoma" w:cs="Tahoma"/>
          <w:kern w:val="0"/>
          <w:sz w:val="24"/>
          <w:szCs w:val="24"/>
          <w:lang w:eastAsia="pl-PL"/>
          <w14:ligatures w14:val="none"/>
        </w:rPr>
        <w:t>K</w:t>
      </w:r>
      <w:r w:rsidR="00CC55EE" w:rsidRPr="004D5856">
        <w:rPr>
          <w:rFonts w:ascii="Tahoma" w:eastAsia="Times New Roman" w:hAnsi="Tahoma" w:cs="Tahoma"/>
          <w:kern w:val="0"/>
          <w:sz w:val="24"/>
          <w:szCs w:val="24"/>
          <w:lang w:eastAsia="pl-PL"/>
          <w14:ligatures w14:val="none"/>
        </w:rPr>
        <w:t>apitalizacja Nvidii stanowi 39-krotność jej zeszłorocznych przychodów.</w:t>
      </w:r>
      <w:r w:rsidR="004D5856" w:rsidRPr="004D5856">
        <w:rPr>
          <w:rFonts w:ascii="Tahoma" w:eastAsia="Times New Roman" w:hAnsi="Tahoma" w:cs="Tahoma"/>
          <w:kern w:val="0"/>
          <w:sz w:val="24"/>
          <w:szCs w:val="24"/>
          <w:lang w:eastAsia="pl-PL"/>
          <w14:ligatures w14:val="none"/>
        </w:rPr>
        <w:t xml:space="preserve"> To wszystko ma odzwierciedlenie nie tylko w wycenie, ale też w nominalnym kursie akcji, który</w:t>
      </w:r>
      <w:r w:rsidR="004D5856">
        <w:rPr>
          <w:rFonts w:ascii="Tahoma" w:eastAsia="Times New Roman" w:hAnsi="Tahoma" w:cs="Tahoma"/>
          <w:kern w:val="0"/>
          <w:sz w:val="24"/>
          <w:szCs w:val="24"/>
          <w:lang w:eastAsia="pl-PL"/>
          <w14:ligatures w14:val="none"/>
        </w:rPr>
        <w:t xml:space="preserve"> po wynikach publikowanych w końcówce maja </w:t>
      </w:r>
      <w:r w:rsidR="004D5856">
        <w:rPr>
          <w:rFonts w:ascii="Tahoma" w:eastAsia="Times New Roman" w:hAnsi="Tahoma" w:cs="Tahoma"/>
          <w:kern w:val="0"/>
          <w:sz w:val="24"/>
          <w:szCs w:val="24"/>
          <w:lang w:eastAsia="pl-PL"/>
          <w14:ligatures w14:val="none"/>
        </w:rPr>
        <w:lastRenderedPageBreak/>
        <w:t>przekroczył</w:t>
      </w:r>
      <w:r w:rsidR="004D5856" w:rsidRPr="004D5856">
        <w:rPr>
          <w:rFonts w:ascii="Tahoma" w:eastAsia="Times New Roman" w:hAnsi="Tahoma" w:cs="Tahoma"/>
          <w:kern w:val="0"/>
          <w:sz w:val="24"/>
          <w:szCs w:val="24"/>
          <w:lang w:eastAsia="pl-PL"/>
          <w14:ligatures w14:val="none"/>
        </w:rPr>
        <w:t xml:space="preserve"> </w:t>
      </w:r>
      <w:r w:rsidR="004079C0">
        <w:rPr>
          <w:rFonts w:ascii="Tahoma" w:eastAsia="Times New Roman" w:hAnsi="Tahoma" w:cs="Tahoma"/>
          <w:kern w:val="0"/>
          <w:sz w:val="24"/>
          <w:szCs w:val="24"/>
          <w:lang w:eastAsia="pl-PL"/>
          <w14:ligatures w14:val="none"/>
        </w:rPr>
        <w:t xml:space="preserve">z przytupem </w:t>
      </w:r>
      <w:r w:rsidR="004D5856" w:rsidRPr="004D5856">
        <w:rPr>
          <w:rFonts w:ascii="Tahoma" w:eastAsia="Times New Roman" w:hAnsi="Tahoma" w:cs="Tahoma"/>
          <w:kern w:val="0"/>
          <w:sz w:val="24"/>
          <w:szCs w:val="24"/>
          <w:lang w:eastAsia="pl-PL"/>
          <w14:ligatures w14:val="none"/>
        </w:rPr>
        <w:t>tysiąc dolarów za sztukę</w:t>
      </w:r>
      <w:r w:rsidR="004079C0">
        <w:rPr>
          <w:rFonts w:ascii="Tahoma" w:eastAsia="Times New Roman" w:hAnsi="Tahoma" w:cs="Tahoma"/>
          <w:kern w:val="0"/>
          <w:sz w:val="24"/>
          <w:szCs w:val="24"/>
          <w:lang w:eastAsia="pl-PL"/>
          <w14:ligatures w14:val="none"/>
        </w:rPr>
        <w:t xml:space="preserve"> (1148 USD kurs z 30.05)</w:t>
      </w:r>
      <w:r w:rsidR="004D5856" w:rsidRPr="004D5856">
        <w:rPr>
          <w:rFonts w:ascii="Tahoma" w:eastAsia="Times New Roman" w:hAnsi="Tahoma" w:cs="Tahoma"/>
          <w:kern w:val="0"/>
          <w:sz w:val="24"/>
          <w:szCs w:val="24"/>
          <w:lang w:eastAsia="pl-PL"/>
          <w14:ligatures w14:val="none"/>
        </w:rPr>
        <w:t>. Dlatego zarząd Nvidii postanowił ogłosić split akcji w stosunku 1:10</w:t>
      </w:r>
      <w:r w:rsidR="000572B9">
        <w:rPr>
          <w:rFonts w:ascii="Tahoma" w:eastAsia="Times New Roman" w:hAnsi="Tahoma" w:cs="Tahoma"/>
          <w:kern w:val="0"/>
          <w:sz w:val="24"/>
          <w:szCs w:val="24"/>
          <w:lang w:eastAsia="pl-PL"/>
          <w14:ligatures w14:val="none"/>
        </w:rPr>
        <w:t>. Kto wie, czy nie otworzy to pola do dalszych wzrostów, na zasadzie większej dostępności dla mniejszych pieniędzy.</w:t>
      </w:r>
    </w:p>
    <w:p w14:paraId="13D3CFC1" w14:textId="77777777" w:rsidR="004E661A" w:rsidRDefault="004E661A" w:rsidP="004E661A">
      <w:pPr>
        <w:jc w:val="both"/>
        <w:rPr>
          <w:rFonts w:cstheme="minorHAnsi"/>
          <w:sz w:val="28"/>
          <w:szCs w:val="28"/>
        </w:rPr>
      </w:pPr>
      <w:r w:rsidRPr="00500986">
        <w:rPr>
          <w:rFonts w:cstheme="minorHAnsi"/>
          <w:sz w:val="28"/>
          <w:szCs w:val="28"/>
        </w:rPr>
        <w:t>OBLIGACJE</w:t>
      </w:r>
    </w:p>
    <w:p w14:paraId="5125F672" w14:textId="4C33A2B3" w:rsidR="00A93F0D" w:rsidRPr="005B209A" w:rsidRDefault="002034AD" w:rsidP="005B209A">
      <w:pPr>
        <w:spacing w:after="0" w:line="240" w:lineRule="auto"/>
        <w:jc w:val="both"/>
        <w:rPr>
          <w:rFonts w:ascii="Tahoma" w:hAnsi="Tahoma" w:cs="Tahoma"/>
          <w:sz w:val="24"/>
          <w:szCs w:val="24"/>
        </w:rPr>
      </w:pPr>
      <w:r>
        <w:rPr>
          <w:rFonts w:ascii="Tahoma" w:hAnsi="Tahoma" w:cs="Tahoma"/>
          <w:sz w:val="24"/>
          <w:szCs w:val="24"/>
        </w:rPr>
        <w:t>Pamiętając kanon, wedle którego obniżki stóp procentowych to szansa na wzrost cen obligacji stałokuponowych - z</w:t>
      </w:r>
      <w:r w:rsidR="001B5099" w:rsidRPr="005B209A">
        <w:rPr>
          <w:rFonts w:ascii="Tahoma" w:hAnsi="Tahoma" w:cs="Tahoma"/>
          <w:sz w:val="24"/>
          <w:szCs w:val="24"/>
        </w:rPr>
        <w:t>róbmy mały bilans. W 2024 roku stopy procentowe jak do tej pory obniżyły banki centralne</w:t>
      </w:r>
      <w:r>
        <w:rPr>
          <w:rFonts w:ascii="Tahoma" w:hAnsi="Tahoma" w:cs="Tahoma"/>
          <w:sz w:val="24"/>
          <w:szCs w:val="24"/>
        </w:rPr>
        <w:t>:</w:t>
      </w:r>
      <w:r w:rsidR="001B5099" w:rsidRPr="005B209A">
        <w:rPr>
          <w:rFonts w:ascii="Tahoma" w:hAnsi="Tahoma" w:cs="Tahoma"/>
          <w:sz w:val="24"/>
          <w:szCs w:val="24"/>
        </w:rPr>
        <w:t xml:space="preserve"> Szwajcarii, Szwecji, Czech i Węgier, uznając, że uzasadnia to spadek inflacji. Na razie obniżek nie zapowiadają: Rezerwa Federalna USA (choć wycenione instrumentami pochodnymi </w:t>
      </w:r>
      <w:r w:rsidR="00576D21" w:rsidRPr="005B209A">
        <w:rPr>
          <w:rFonts w:ascii="Tahoma" w:hAnsi="Tahoma" w:cs="Tahoma"/>
          <w:sz w:val="24"/>
          <w:szCs w:val="24"/>
        </w:rPr>
        <w:t xml:space="preserve">większe </w:t>
      </w:r>
      <w:r w:rsidR="001B5099" w:rsidRPr="005B209A">
        <w:rPr>
          <w:rFonts w:ascii="Tahoma" w:hAnsi="Tahoma" w:cs="Tahoma"/>
          <w:sz w:val="24"/>
          <w:szCs w:val="24"/>
        </w:rPr>
        <w:t xml:space="preserve">prawdopodobieństwo </w:t>
      </w:r>
      <w:r w:rsidR="00576D21" w:rsidRPr="005B209A">
        <w:rPr>
          <w:rFonts w:ascii="Tahoma" w:hAnsi="Tahoma" w:cs="Tahoma"/>
          <w:sz w:val="24"/>
          <w:szCs w:val="24"/>
        </w:rPr>
        <w:t xml:space="preserve">spadku stóp w końcówce roku istnieje) </w:t>
      </w:r>
      <w:r w:rsidR="001B5099" w:rsidRPr="005B209A">
        <w:rPr>
          <w:rFonts w:ascii="Tahoma" w:hAnsi="Tahoma" w:cs="Tahoma"/>
          <w:sz w:val="24"/>
          <w:szCs w:val="24"/>
        </w:rPr>
        <w:t>i Bank Anglii</w:t>
      </w:r>
      <w:r w:rsidR="00576D21" w:rsidRPr="005B209A">
        <w:rPr>
          <w:rFonts w:ascii="Tahoma" w:hAnsi="Tahoma" w:cs="Tahoma"/>
          <w:sz w:val="24"/>
          <w:szCs w:val="24"/>
        </w:rPr>
        <w:t>.</w:t>
      </w:r>
      <w:r w:rsidR="001B5099" w:rsidRPr="005B209A">
        <w:rPr>
          <w:rFonts w:ascii="Tahoma" w:hAnsi="Tahoma" w:cs="Tahoma"/>
          <w:sz w:val="24"/>
          <w:szCs w:val="24"/>
        </w:rPr>
        <w:t xml:space="preserve"> Bank Japonii będzie raczej podnosił niż obniżał stopy.</w:t>
      </w:r>
      <w:r w:rsidR="00E56602" w:rsidRPr="005B209A">
        <w:rPr>
          <w:rFonts w:ascii="Tahoma" w:hAnsi="Tahoma" w:cs="Tahoma"/>
          <w:sz w:val="24"/>
          <w:szCs w:val="24"/>
        </w:rPr>
        <w:t xml:space="preserve"> </w:t>
      </w:r>
      <w:r w:rsidR="00A93F0D" w:rsidRPr="005B209A">
        <w:rPr>
          <w:rFonts w:ascii="Tahoma" w:hAnsi="Tahoma" w:cs="Tahoma"/>
          <w:sz w:val="24"/>
          <w:szCs w:val="24"/>
        </w:rPr>
        <w:t>K</w:t>
      </w:r>
      <w:r w:rsidR="00974943" w:rsidRPr="005B209A">
        <w:rPr>
          <w:rFonts w:ascii="Tahoma" w:hAnsi="Tahoma" w:cs="Tahoma"/>
          <w:sz w:val="24"/>
          <w:szCs w:val="24"/>
        </w:rPr>
        <w:t>ilku członków Europejskiego Banku Centralnego potwierdziło, że obniżki stóp procentowych będą miały miejsce na posiedzeniu w przyszłym tygodniu</w:t>
      </w:r>
      <w:r w:rsidR="00E56602" w:rsidRPr="005B209A">
        <w:rPr>
          <w:rFonts w:ascii="Tahoma" w:hAnsi="Tahoma" w:cs="Tahoma"/>
          <w:sz w:val="24"/>
          <w:szCs w:val="24"/>
        </w:rPr>
        <w:t xml:space="preserve"> (6 czerwca)</w:t>
      </w:r>
      <w:r w:rsidR="00974943" w:rsidRPr="005B209A">
        <w:rPr>
          <w:rFonts w:ascii="Tahoma" w:hAnsi="Tahoma" w:cs="Tahoma"/>
          <w:sz w:val="24"/>
          <w:szCs w:val="24"/>
        </w:rPr>
        <w:t xml:space="preserve">, co będzie rozpoczęciem całego procesu łagodzenia polityki monetarnej, wobec ostatniego sukcesu sprowadzenia inflacji w pobliże celu. </w:t>
      </w:r>
      <w:r w:rsidR="00A93F0D" w:rsidRPr="005B209A">
        <w:rPr>
          <w:rFonts w:ascii="Tahoma" w:hAnsi="Tahoma" w:cs="Tahoma"/>
          <w:sz w:val="24"/>
          <w:szCs w:val="24"/>
        </w:rPr>
        <w:t xml:space="preserve">W Polsce mamy patową sytuację – inflację w celu (opublikowane dane za maj 2,5% wobec konsensusu 2,8%!). Mimo tego o obniżaniu stóp procentowych mowy nie ma. </w:t>
      </w:r>
      <w:r w:rsidR="005B209A" w:rsidRPr="005B209A">
        <w:rPr>
          <w:rFonts w:ascii="Tahoma" w:hAnsi="Tahoma" w:cs="Tahoma"/>
          <w:sz w:val="24"/>
          <w:szCs w:val="24"/>
        </w:rPr>
        <w:t xml:space="preserve">Kłopotem pozostaje </w:t>
      </w:r>
      <w:r w:rsidR="005B209A">
        <w:rPr>
          <w:rFonts w:ascii="Tahoma" w:eastAsia="Times New Roman" w:hAnsi="Tahoma" w:cs="Tahoma"/>
          <w:kern w:val="0"/>
          <w:sz w:val="24"/>
          <w:szCs w:val="24"/>
          <w:lang w:eastAsia="pl-PL"/>
          <w14:ligatures w14:val="none"/>
        </w:rPr>
        <w:t>z</w:t>
      </w:r>
      <w:r w:rsidR="005B209A" w:rsidRPr="005B209A">
        <w:rPr>
          <w:rFonts w:ascii="Tahoma" w:eastAsia="Times New Roman" w:hAnsi="Tahoma" w:cs="Tahoma"/>
          <w:kern w:val="0"/>
          <w:sz w:val="24"/>
          <w:szCs w:val="24"/>
          <w:lang w:eastAsia="pl-PL"/>
          <w14:ligatures w14:val="none"/>
        </w:rPr>
        <w:t>adłużenie Skarbu Państwa</w:t>
      </w:r>
      <w:r w:rsidR="005B209A">
        <w:rPr>
          <w:rFonts w:ascii="Tahoma" w:eastAsia="Times New Roman" w:hAnsi="Tahoma" w:cs="Tahoma"/>
          <w:kern w:val="0"/>
          <w:sz w:val="24"/>
          <w:szCs w:val="24"/>
          <w:lang w:eastAsia="pl-PL"/>
          <w14:ligatures w14:val="none"/>
        </w:rPr>
        <w:t>, które na</w:t>
      </w:r>
      <w:r w:rsidR="005B209A" w:rsidRPr="005B209A">
        <w:rPr>
          <w:rFonts w:ascii="Tahoma" w:eastAsia="Times New Roman" w:hAnsi="Tahoma" w:cs="Tahoma"/>
          <w:kern w:val="0"/>
          <w:sz w:val="24"/>
          <w:szCs w:val="24"/>
          <w:lang w:eastAsia="pl-PL"/>
          <w14:ligatures w14:val="none"/>
        </w:rPr>
        <w:t xml:space="preserve"> koniec kwietnia 2024 r. wyniosło ok. 1 bln 445,5 mld zł, co oznacza wzrost o 15,2 mld zł, czyli o 1,1 proc. w stosunku do marca br. wynika z szacunkowych danych MF.</w:t>
      </w:r>
      <w:r w:rsidR="005B209A">
        <w:rPr>
          <w:rFonts w:ascii="Tahoma" w:eastAsia="Times New Roman" w:hAnsi="Tahoma" w:cs="Tahoma"/>
          <w:kern w:val="0"/>
          <w:sz w:val="24"/>
          <w:szCs w:val="24"/>
          <w:lang w:eastAsia="pl-PL"/>
          <w14:ligatures w14:val="none"/>
        </w:rPr>
        <w:t xml:space="preserve"> Jeśli dorzucić do tego maraton wyborczy, to mamy otoczenie w którym trudno będzie o jakieś dobre informacje wspierające cenę obligacji skarbowych.</w:t>
      </w:r>
      <w:r w:rsidR="00F96DDF">
        <w:rPr>
          <w:rFonts w:ascii="Tahoma" w:eastAsia="Times New Roman" w:hAnsi="Tahoma" w:cs="Tahoma"/>
          <w:kern w:val="0"/>
          <w:sz w:val="24"/>
          <w:szCs w:val="24"/>
          <w:lang w:eastAsia="pl-PL"/>
          <w14:ligatures w14:val="none"/>
        </w:rPr>
        <w:t xml:space="preserve"> Pozostaje wiara w nieomylność analityków Goldmana, którzy prognozują, że RPP będzie przymuszona</w:t>
      </w:r>
      <w:r w:rsidR="00C84A55">
        <w:rPr>
          <w:rFonts w:ascii="Tahoma" w:eastAsia="Times New Roman" w:hAnsi="Tahoma" w:cs="Tahoma"/>
          <w:kern w:val="0"/>
          <w:sz w:val="24"/>
          <w:szCs w:val="24"/>
          <w:lang w:eastAsia="pl-PL"/>
          <w14:ligatures w14:val="none"/>
        </w:rPr>
        <w:t xml:space="preserve"> do obniżki</w:t>
      </w:r>
      <w:r w:rsidR="00F96DDF">
        <w:rPr>
          <w:rFonts w:ascii="Tahoma" w:eastAsia="Times New Roman" w:hAnsi="Tahoma" w:cs="Tahoma"/>
          <w:kern w:val="0"/>
          <w:sz w:val="24"/>
          <w:szCs w:val="24"/>
          <w:lang w:eastAsia="pl-PL"/>
          <w14:ligatures w14:val="none"/>
        </w:rPr>
        <w:t xml:space="preserve"> umocnieniem złotego i </w:t>
      </w:r>
      <w:r w:rsidR="00C84A55">
        <w:rPr>
          <w:rFonts w:ascii="Tahoma" w:eastAsia="Times New Roman" w:hAnsi="Tahoma" w:cs="Tahoma"/>
          <w:kern w:val="0"/>
          <w:sz w:val="24"/>
          <w:szCs w:val="24"/>
          <w:lang w:eastAsia="pl-PL"/>
          <w14:ligatures w14:val="none"/>
        </w:rPr>
        <w:t>opisanym wyżej procesem dezinflacji.</w:t>
      </w:r>
      <w:r w:rsidR="005B209A">
        <w:rPr>
          <w:rFonts w:ascii="Tahoma" w:eastAsia="Times New Roman" w:hAnsi="Tahoma" w:cs="Tahoma"/>
          <w:kern w:val="0"/>
          <w:sz w:val="24"/>
          <w:szCs w:val="24"/>
          <w:lang w:eastAsia="pl-PL"/>
          <w14:ligatures w14:val="none"/>
        </w:rPr>
        <w:t xml:space="preserve"> Czy Ktoś z Was pamięta jeszcze </w:t>
      </w:r>
      <w:r w:rsidR="00A93F0D" w:rsidRPr="005B209A">
        <w:rPr>
          <w:rFonts w:ascii="Tahoma" w:hAnsi="Tahoma" w:cs="Tahoma"/>
          <w:sz w:val="24"/>
          <w:szCs w:val="24"/>
        </w:rPr>
        <w:t>"100 konkretów na 100 dni" - zestawu reform, które rząd planował wprowadzić w ciągu pierwszych 100 dni urzędowania</w:t>
      </w:r>
      <w:r w:rsidR="005B209A">
        <w:rPr>
          <w:rFonts w:ascii="Tahoma" w:hAnsi="Tahoma" w:cs="Tahoma"/>
          <w:sz w:val="24"/>
          <w:szCs w:val="24"/>
        </w:rPr>
        <w:t>…? Trwa festiwal niespełnionych obietnic. Po ważnym z punktu widzenia rynku odstrzeleniu zdjęcia podatku od zysków kapitałowych, dochodzi brak zmiany w kwocie wolnej od podatku. O ile, są to złe informacje dla zarabiających w Polsce młodych przedsiębiorców</w:t>
      </w:r>
      <w:r w:rsidR="00C84A55">
        <w:rPr>
          <w:rFonts w:ascii="Tahoma" w:hAnsi="Tahoma" w:cs="Tahoma"/>
          <w:sz w:val="24"/>
          <w:szCs w:val="24"/>
        </w:rPr>
        <w:t xml:space="preserve"> (doradców PHINANCE </w:t>
      </w:r>
      <w:r w:rsidR="00C84A55" w:rsidRPr="00C84A55">
        <w:rPr>
          <mc:AlternateContent>
            <mc:Choice Requires="w16se">
              <w:rFonts w:ascii="Tahoma" w:hAnsi="Tahoma" w:cs="Tahom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84A55">
        <w:rPr>
          <w:rFonts w:ascii="Tahoma" w:hAnsi="Tahoma" w:cs="Tahoma"/>
          <w:sz w:val="24"/>
          <w:szCs w:val="24"/>
        </w:rPr>
        <w:t>)</w:t>
      </w:r>
      <w:r w:rsidR="005B209A">
        <w:rPr>
          <w:rFonts w:ascii="Tahoma" w:hAnsi="Tahoma" w:cs="Tahoma"/>
          <w:sz w:val="24"/>
          <w:szCs w:val="24"/>
        </w:rPr>
        <w:t>, o tyle dla finansów publicznych akurat nienajgorsze jeśli nie zbawienn</w:t>
      </w:r>
      <w:r w:rsidR="00C84A55">
        <w:rPr>
          <w:rFonts w:ascii="Tahoma" w:hAnsi="Tahoma" w:cs="Tahoma"/>
          <w:sz w:val="24"/>
          <w:szCs w:val="24"/>
        </w:rPr>
        <w:t>a</w:t>
      </w:r>
      <w:r w:rsidR="005B209A">
        <w:rPr>
          <w:rFonts w:ascii="Tahoma" w:hAnsi="Tahoma" w:cs="Tahoma"/>
          <w:sz w:val="24"/>
          <w:szCs w:val="24"/>
        </w:rPr>
        <w:t>…</w:t>
      </w:r>
    </w:p>
    <w:p w14:paraId="2BB1566D" w14:textId="77777777" w:rsidR="002034AD" w:rsidRDefault="002034AD" w:rsidP="00182134">
      <w:pPr>
        <w:jc w:val="both"/>
        <w:rPr>
          <w:rFonts w:ascii="Tahoma" w:hAnsi="Tahoma" w:cs="Tahoma"/>
          <w:sz w:val="24"/>
          <w:szCs w:val="24"/>
        </w:rPr>
      </w:pPr>
    </w:p>
    <w:p w14:paraId="789B2454" w14:textId="73F57C60" w:rsidR="00182134" w:rsidRDefault="00182134" w:rsidP="00182134">
      <w:pPr>
        <w:jc w:val="both"/>
        <w:rPr>
          <w:rFonts w:ascii="Tahoma" w:hAnsi="Tahoma" w:cs="Tahoma"/>
          <w:color w:val="26272C"/>
          <w:sz w:val="24"/>
          <w:szCs w:val="24"/>
        </w:rPr>
      </w:pPr>
      <w:r w:rsidRPr="007F44A0">
        <w:rPr>
          <w:rFonts w:ascii="Tahoma" w:hAnsi="Tahoma" w:cs="Tahoma"/>
          <w:sz w:val="24"/>
          <w:szCs w:val="24"/>
        </w:rPr>
        <w:t>SURO</w:t>
      </w:r>
      <w:r w:rsidRPr="007F44A0">
        <w:rPr>
          <w:rFonts w:ascii="Tahoma" w:hAnsi="Tahoma" w:cs="Tahoma"/>
          <w:color w:val="26272C"/>
          <w:sz w:val="24"/>
          <w:szCs w:val="24"/>
        </w:rPr>
        <w:t>WCE</w:t>
      </w:r>
    </w:p>
    <w:p w14:paraId="4A2DD3C5" w14:textId="4D4D6EA3" w:rsidR="00564A3B" w:rsidRPr="00797F32" w:rsidRDefault="00564A3B" w:rsidP="00BD0E7F">
      <w:pPr>
        <w:jc w:val="both"/>
        <w:rPr>
          <w:rFonts w:ascii="Tahoma" w:hAnsi="Tahoma" w:cs="Tahoma"/>
          <w:sz w:val="24"/>
          <w:szCs w:val="24"/>
        </w:rPr>
      </w:pPr>
      <w:r w:rsidRPr="005B209A">
        <w:rPr>
          <w:rFonts w:ascii="Tahoma" w:hAnsi="Tahoma" w:cs="Tahoma"/>
          <w:sz w:val="24"/>
          <w:szCs w:val="24"/>
        </w:rPr>
        <w:t>W ramach cykli koniunkturalnych obserwujemy kolejny krok</w:t>
      </w:r>
      <w:r w:rsidR="005B209A">
        <w:rPr>
          <w:rFonts w:ascii="Tahoma" w:hAnsi="Tahoma" w:cs="Tahoma"/>
          <w:sz w:val="24"/>
          <w:szCs w:val="24"/>
        </w:rPr>
        <w:t>.</w:t>
      </w:r>
      <w:r w:rsidRPr="005B209A">
        <w:rPr>
          <w:rFonts w:ascii="Tahoma" w:hAnsi="Tahoma" w:cs="Tahoma"/>
          <w:sz w:val="24"/>
          <w:szCs w:val="24"/>
        </w:rPr>
        <w:t xml:space="preserve"> </w:t>
      </w:r>
      <w:r w:rsidR="005B209A">
        <w:rPr>
          <w:rFonts w:ascii="Tahoma" w:hAnsi="Tahoma" w:cs="Tahoma"/>
          <w:sz w:val="24"/>
          <w:szCs w:val="24"/>
        </w:rPr>
        <w:t>R</w:t>
      </w:r>
      <w:r w:rsidRPr="005B209A">
        <w:rPr>
          <w:rFonts w:ascii="Tahoma" w:hAnsi="Tahoma" w:cs="Tahoma"/>
          <w:sz w:val="24"/>
          <w:szCs w:val="24"/>
        </w:rPr>
        <w:t>ynek przesu</w:t>
      </w:r>
      <w:r w:rsidR="005B209A">
        <w:rPr>
          <w:rFonts w:ascii="Tahoma" w:hAnsi="Tahoma" w:cs="Tahoma"/>
          <w:sz w:val="24"/>
          <w:szCs w:val="24"/>
        </w:rPr>
        <w:t>nął</w:t>
      </w:r>
      <w:r w:rsidRPr="005B209A">
        <w:rPr>
          <w:rFonts w:ascii="Tahoma" w:hAnsi="Tahoma" w:cs="Tahoma"/>
          <w:sz w:val="24"/>
          <w:szCs w:val="24"/>
        </w:rPr>
        <w:t xml:space="preserve"> ciężar inwestycji w stronę surowców. W ramach cyklicznego zegara kolejną ćwiartką po ćwiartce akcyjnej jest właśnie ta surowcowa. Spoglądając na to, co działo się do tej pory na rynku akcji, gdzie były bite kolejne historyczne rekordy, obecnie trudno przejść obojętnie obok tego, co dzieje się na rynku surowców. Tu także</w:t>
      </w:r>
      <w:r w:rsidR="005B209A">
        <w:rPr>
          <w:rFonts w:ascii="Tahoma" w:hAnsi="Tahoma" w:cs="Tahoma"/>
          <w:sz w:val="24"/>
          <w:szCs w:val="24"/>
        </w:rPr>
        <w:t>, ku wielkiej radości inwestujących od lat</w:t>
      </w:r>
      <w:r w:rsidR="00C84A55">
        <w:rPr>
          <w:rFonts w:ascii="Tahoma" w:hAnsi="Tahoma" w:cs="Tahoma"/>
          <w:sz w:val="24"/>
          <w:szCs w:val="24"/>
        </w:rPr>
        <w:t>,</w:t>
      </w:r>
      <w:r w:rsidR="005B209A">
        <w:rPr>
          <w:rFonts w:ascii="Tahoma" w:hAnsi="Tahoma" w:cs="Tahoma"/>
          <w:sz w:val="24"/>
          <w:szCs w:val="24"/>
        </w:rPr>
        <w:t xml:space="preserve"> </w:t>
      </w:r>
      <w:r w:rsidR="00556389">
        <w:rPr>
          <w:rFonts w:ascii="Tahoma" w:hAnsi="Tahoma" w:cs="Tahoma"/>
          <w:sz w:val="24"/>
          <w:szCs w:val="24"/>
        </w:rPr>
        <w:t>poprzez Phinance</w:t>
      </w:r>
      <w:r w:rsidR="00C84A55">
        <w:rPr>
          <w:rFonts w:ascii="Tahoma" w:hAnsi="Tahoma" w:cs="Tahoma"/>
          <w:sz w:val="24"/>
          <w:szCs w:val="24"/>
        </w:rPr>
        <w:t>,</w:t>
      </w:r>
      <w:r w:rsidR="00556389">
        <w:rPr>
          <w:rFonts w:ascii="Tahoma" w:hAnsi="Tahoma" w:cs="Tahoma"/>
          <w:sz w:val="24"/>
          <w:szCs w:val="24"/>
        </w:rPr>
        <w:t xml:space="preserve"> w produkty oparte na złocie,</w:t>
      </w:r>
      <w:r w:rsidRPr="005B209A">
        <w:rPr>
          <w:rFonts w:ascii="Tahoma" w:hAnsi="Tahoma" w:cs="Tahoma"/>
          <w:sz w:val="24"/>
          <w:szCs w:val="24"/>
        </w:rPr>
        <w:t xml:space="preserve"> pojawiają się nowe rekordy</w:t>
      </w:r>
      <w:r w:rsidR="00556389">
        <w:rPr>
          <w:rFonts w:ascii="Tahoma" w:hAnsi="Tahoma" w:cs="Tahoma"/>
          <w:sz w:val="24"/>
          <w:szCs w:val="24"/>
        </w:rPr>
        <w:t>. Majow</w:t>
      </w:r>
      <w:r w:rsidR="00B9594B">
        <w:rPr>
          <w:rFonts w:ascii="Tahoma" w:hAnsi="Tahoma" w:cs="Tahoma"/>
          <w:sz w:val="24"/>
          <w:szCs w:val="24"/>
        </w:rPr>
        <w:t>y</w:t>
      </w:r>
      <w:r w:rsidR="00556389">
        <w:rPr>
          <w:rFonts w:ascii="Tahoma" w:hAnsi="Tahoma" w:cs="Tahoma"/>
          <w:sz w:val="24"/>
          <w:szCs w:val="24"/>
        </w:rPr>
        <w:t xml:space="preserve"> atak na 2450</w:t>
      </w:r>
      <w:r w:rsidR="00C84A55">
        <w:rPr>
          <w:rFonts w:ascii="Tahoma" w:hAnsi="Tahoma" w:cs="Tahoma"/>
          <w:sz w:val="24"/>
          <w:szCs w:val="24"/>
        </w:rPr>
        <w:t xml:space="preserve"> </w:t>
      </w:r>
      <w:r w:rsidR="00556389">
        <w:rPr>
          <w:rFonts w:ascii="Tahoma" w:hAnsi="Tahoma" w:cs="Tahoma"/>
          <w:sz w:val="24"/>
          <w:szCs w:val="24"/>
        </w:rPr>
        <w:t>USD za uncję, przy rosnących rentownościach obligacji amerykańskich i deprecjacji USD to wydarzenie bez precedensu.</w:t>
      </w:r>
      <w:r w:rsidR="00B9594B">
        <w:rPr>
          <w:rFonts w:ascii="Tahoma" w:hAnsi="Tahoma" w:cs="Tahoma"/>
          <w:sz w:val="24"/>
          <w:szCs w:val="24"/>
        </w:rPr>
        <w:t xml:space="preserve"> </w:t>
      </w:r>
      <w:r w:rsidR="00556389">
        <w:rPr>
          <w:rFonts w:ascii="Tahoma" w:hAnsi="Tahoma" w:cs="Tahoma"/>
          <w:sz w:val="24"/>
          <w:szCs w:val="24"/>
        </w:rPr>
        <w:t xml:space="preserve">Cenę złota pchają do góry dwa rudymentalne zjawiska. </w:t>
      </w:r>
      <w:r w:rsidR="00556389" w:rsidRPr="00556389">
        <w:rPr>
          <w:rFonts w:ascii="Tahoma" w:hAnsi="Tahoma" w:cs="Tahoma"/>
          <w:sz w:val="24"/>
          <w:szCs w:val="24"/>
        </w:rPr>
        <w:t>Po roku 2008 – a szczególnie w odpowiedzi rządów na covidowy kryzys roku 2020</w:t>
      </w:r>
      <w:r w:rsidR="00C84A55">
        <w:rPr>
          <w:rFonts w:ascii="Tahoma" w:hAnsi="Tahoma" w:cs="Tahoma"/>
          <w:sz w:val="24"/>
          <w:szCs w:val="24"/>
        </w:rPr>
        <w:t xml:space="preserve"> -</w:t>
      </w:r>
      <w:r w:rsidR="00ED5AB2">
        <w:rPr>
          <w:rFonts w:ascii="Tahoma" w:hAnsi="Tahoma" w:cs="Tahoma"/>
          <w:sz w:val="24"/>
          <w:szCs w:val="24"/>
        </w:rPr>
        <w:t xml:space="preserve"> pękły wszystkie limity kreacji długu</w:t>
      </w:r>
      <w:r w:rsidR="00556389">
        <w:t xml:space="preserve">. </w:t>
      </w:r>
      <w:r w:rsidR="00C84A55">
        <w:rPr>
          <w:rFonts w:ascii="Tahoma" w:hAnsi="Tahoma" w:cs="Tahoma"/>
          <w:sz w:val="24"/>
          <w:szCs w:val="24"/>
        </w:rPr>
        <w:t>K</w:t>
      </w:r>
      <w:r w:rsidR="00556389" w:rsidRPr="00ED5AB2">
        <w:rPr>
          <w:rFonts w:ascii="Tahoma" w:hAnsi="Tahoma" w:cs="Tahoma"/>
          <w:sz w:val="24"/>
          <w:szCs w:val="24"/>
        </w:rPr>
        <w:t>onsekwencj</w:t>
      </w:r>
      <w:r w:rsidR="00C84A55">
        <w:rPr>
          <w:rFonts w:ascii="Tahoma" w:hAnsi="Tahoma" w:cs="Tahoma"/>
          <w:sz w:val="24"/>
          <w:szCs w:val="24"/>
        </w:rPr>
        <w:t>ą</w:t>
      </w:r>
      <w:r w:rsidR="00556389" w:rsidRPr="00ED5AB2">
        <w:rPr>
          <w:rFonts w:ascii="Tahoma" w:hAnsi="Tahoma" w:cs="Tahoma"/>
          <w:sz w:val="24"/>
          <w:szCs w:val="24"/>
        </w:rPr>
        <w:t xml:space="preserve"> </w:t>
      </w:r>
      <w:r w:rsidR="00C84A55">
        <w:rPr>
          <w:rFonts w:ascii="Tahoma" w:hAnsi="Tahoma" w:cs="Tahoma"/>
          <w:sz w:val="24"/>
          <w:szCs w:val="24"/>
        </w:rPr>
        <w:t>jest</w:t>
      </w:r>
      <w:r w:rsidR="00556389" w:rsidRPr="00ED5AB2">
        <w:rPr>
          <w:rFonts w:ascii="Tahoma" w:hAnsi="Tahoma" w:cs="Tahoma"/>
          <w:sz w:val="24"/>
          <w:szCs w:val="24"/>
        </w:rPr>
        <w:t xml:space="preserve"> </w:t>
      </w:r>
      <w:r w:rsidR="00ED5AB2" w:rsidRPr="00ED5AB2">
        <w:rPr>
          <w:rFonts w:ascii="Tahoma" w:hAnsi="Tahoma" w:cs="Tahoma"/>
          <w:sz w:val="24"/>
          <w:szCs w:val="24"/>
        </w:rPr>
        <w:t>galopując</w:t>
      </w:r>
      <w:r w:rsidR="00C84A55">
        <w:rPr>
          <w:rFonts w:ascii="Tahoma" w:hAnsi="Tahoma" w:cs="Tahoma"/>
          <w:sz w:val="24"/>
          <w:szCs w:val="24"/>
        </w:rPr>
        <w:t>y</w:t>
      </w:r>
      <w:r w:rsidR="00ED5AB2" w:rsidRPr="00ED5AB2">
        <w:rPr>
          <w:rFonts w:ascii="Tahoma" w:hAnsi="Tahoma" w:cs="Tahoma"/>
          <w:sz w:val="24"/>
          <w:szCs w:val="24"/>
        </w:rPr>
        <w:t xml:space="preserve"> wzrost</w:t>
      </w:r>
      <w:r w:rsidR="00C84A55">
        <w:rPr>
          <w:rFonts w:ascii="Tahoma" w:hAnsi="Tahoma" w:cs="Tahoma"/>
          <w:sz w:val="24"/>
          <w:szCs w:val="24"/>
        </w:rPr>
        <w:t xml:space="preserve"> </w:t>
      </w:r>
      <w:r w:rsidR="00ED5AB2" w:rsidRPr="00ED5AB2">
        <w:rPr>
          <w:rFonts w:ascii="Tahoma" w:hAnsi="Tahoma" w:cs="Tahoma"/>
          <w:sz w:val="24"/>
          <w:szCs w:val="24"/>
        </w:rPr>
        <w:t>zadłużenia publicznego</w:t>
      </w:r>
      <w:r w:rsidR="00ED5AB2">
        <w:rPr>
          <w:rFonts w:ascii="Tahoma" w:hAnsi="Tahoma" w:cs="Tahoma"/>
          <w:sz w:val="24"/>
          <w:szCs w:val="24"/>
        </w:rPr>
        <w:t xml:space="preserve">. </w:t>
      </w:r>
      <w:r w:rsidR="00ED5AB2" w:rsidRPr="00ED5AB2">
        <w:rPr>
          <w:rFonts w:ascii="Tahoma" w:hAnsi="Tahoma" w:cs="Tahoma"/>
          <w:sz w:val="24"/>
          <w:szCs w:val="24"/>
        </w:rPr>
        <w:t xml:space="preserve">To wzbudziło obawę o to, czy rządy i banki centralne krajów Zachodu będą </w:t>
      </w:r>
      <w:r w:rsidR="00ED5AB2">
        <w:rPr>
          <w:rFonts w:ascii="Tahoma" w:hAnsi="Tahoma" w:cs="Tahoma"/>
          <w:sz w:val="24"/>
          <w:szCs w:val="24"/>
        </w:rPr>
        <w:t xml:space="preserve">w </w:t>
      </w:r>
      <w:r w:rsidR="00ED5AB2" w:rsidRPr="00ED5AB2">
        <w:rPr>
          <w:rFonts w:ascii="Tahoma" w:hAnsi="Tahoma" w:cs="Tahoma"/>
          <w:sz w:val="24"/>
          <w:szCs w:val="24"/>
        </w:rPr>
        <w:t xml:space="preserve">stanie utrzymać w ryzach </w:t>
      </w:r>
      <w:r w:rsidR="00ED5AB2" w:rsidRPr="00ED5AB2">
        <w:rPr>
          <w:rFonts w:ascii="Tahoma" w:hAnsi="Tahoma" w:cs="Tahoma"/>
          <w:sz w:val="24"/>
          <w:szCs w:val="24"/>
        </w:rPr>
        <w:lastRenderedPageBreak/>
        <w:t>inflację bez ryzyka zapaści finansów publicznych</w:t>
      </w:r>
      <w:r w:rsidR="00ED5AB2">
        <w:rPr>
          <w:rFonts w:ascii="Tahoma" w:hAnsi="Tahoma" w:cs="Tahoma"/>
          <w:sz w:val="24"/>
          <w:szCs w:val="24"/>
        </w:rPr>
        <w:t xml:space="preserve">. </w:t>
      </w:r>
      <w:r w:rsidR="00C84A55">
        <w:rPr>
          <w:rFonts w:ascii="Tahoma" w:hAnsi="Tahoma" w:cs="Tahoma"/>
          <w:sz w:val="24"/>
          <w:szCs w:val="24"/>
        </w:rPr>
        <w:t>W</w:t>
      </w:r>
      <w:r w:rsidR="00ED5AB2" w:rsidRPr="00ED5AB2">
        <w:rPr>
          <w:rFonts w:ascii="Tahoma" w:hAnsi="Tahoma" w:cs="Tahoma"/>
          <w:sz w:val="24"/>
          <w:szCs w:val="24"/>
        </w:rPr>
        <w:t>iara w utrzymanie względnie niskiego spadku siły nabywczej walut fiat szybko zaczęła się ulatniać</w:t>
      </w:r>
      <w:r w:rsidR="00ED5AB2">
        <w:rPr>
          <w:rFonts w:ascii="Tahoma" w:hAnsi="Tahoma" w:cs="Tahoma"/>
          <w:sz w:val="24"/>
          <w:szCs w:val="24"/>
        </w:rPr>
        <w:t xml:space="preserve">. A co ma zabezpieczać przed inflacją? </w:t>
      </w:r>
      <w:r w:rsidR="00C84A55">
        <w:rPr>
          <w:rFonts w:ascii="Tahoma" w:hAnsi="Tahoma" w:cs="Tahoma"/>
          <w:sz w:val="24"/>
          <w:szCs w:val="24"/>
        </w:rPr>
        <w:t>Surowce i bitcoin</w:t>
      </w:r>
      <w:r w:rsidR="00ED5AB2">
        <w:rPr>
          <w:rFonts w:ascii="Tahoma" w:hAnsi="Tahoma" w:cs="Tahoma"/>
          <w:sz w:val="24"/>
          <w:szCs w:val="24"/>
        </w:rPr>
        <w:t>. Drugie zjawisko wynika z zamrożenia rezerw walutowych Banku Rosji</w:t>
      </w:r>
      <w:r w:rsidR="00ED5AB2" w:rsidRPr="00ED5AB2">
        <w:rPr>
          <w:rFonts w:ascii="Tahoma" w:hAnsi="Tahoma" w:cs="Tahoma"/>
          <w:sz w:val="24"/>
          <w:szCs w:val="24"/>
        </w:rPr>
        <w:t xml:space="preserve"> w ramach odwetu za agresję na Ukrainę.</w:t>
      </w:r>
      <w:r w:rsidR="00ED5AB2">
        <w:t xml:space="preserve"> </w:t>
      </w:r>
      <w:r w:rsidR="00ED5AB2" w:rsidRPr="00B92A77">
        <w:rPr>
          <w:rFonts w:ascii="Tahoma" w:hAnsi="Tahoma" w:cs="Tahoma"/>
          <w:sz w:val="24"/>
          <w:szCs w:val="24"/>
        </w:rPr>
        <w:t xml:space="preserve">Po tym posunięciu władze wielu krajów świata nie mogły nie zadać sobie pytania: kto będzie następny? </w:t>
      </w:r>
      <w:r w:rsidR="00C84A55">
        <w:rPr>
          <w:rFonts w:ascii="Tahoma" w:hAnsi="Tahoma" w:cs="Tahoma"/>
          <w:sz w:val="24"/>
          <w:szCs w:val="24"/>
        </w:rPr>
        <w:t>A co może zabezpieczyć przed takim „zamrożeniem”? Tak jest! Metale szlachetne</w:t>
      </w:r>
      <w:r w:rsidR="00ED5AB2" w:rsidRPr="00B92A77">
        <w:rPr>
          <w:rFonts w:ascii="Tahoma" w:hAnsi="Tahoma" w:cs="Tahoma"/>
          <w:sz w:val="24"/>
          <w:szCs w:val="24"/>
        </w:rPr>
        <w:t>.</w:t>
      </w:r>
      <w:r w:rsidR="00C376E4" w:rsidRPr="00B92A77">
        <w:rPr>
          <w:rFonts w:ascii="Tahoma" w:hAnsi="Tahoma" w:cs="Tahoma"/>
          <w:sz w:val="24"/>
          <w:szCs w:val="24"/>
        </w:rPr>
        <w:t xml:space="preserve"> Prym wi</w:t>
      </w:r>
      <w:r w:rsidR="00E17962">
        <w:rPr>
          <w:rFonts w:ascii="Tahoma" w:hAnsi="Tahoma" w:cs="Tahoma"/>
          <w:sz w:val="24"/>
          <w:szCs w:val="24"/>
        </w:rPr>
        <w:t xml:space="preserve">edzie </w:t>
      </w:r>
      <w:r w:rsidR="00E17962" w:rsidRPr="00E17962">
        <w:rPr>
          <w:rFonts w:ascii="Tahoma" w:hAnsi="Tahoma" w:cs="Tahoma"/>
          <w:sz w:val="24"/>
          <w:szCs w:val="24"/>
        </w:rPr>
        <w:t>Ludowy Bank Chin, który przez 18 miesięcy z rzędu raportował zwiększenie oficjalnych rezerw kruszcowych</w:t>
      </w:r>
      <w:r w:rsidR="00E17962">
        <w:rPr>
          <w:rFonts w:ascii="Tahoma" w:hAnsi="Tahoma" w:cs="Tahoma"/>
          <w:sz w:val="24"/>
          <w:szCs w:val="24"/>
        </w:rPr>
        <w:t xml:space="preserve">. </w:t>
      </w:r>
      <w:r w:rsidR="00E17962" w:rsidRPr="00B9594B">
        <w:rPr>
          <w:rFonts w:ascii="Tahoma" w:hAnsi="Tahoma" w:cs="Tahoma"/>
          <w:sz w:val="24"/>
          <w:szCs w:val="24"/>
        </w:rPr>
        <w:t xml:space="preserve">Chiny, Indie i Singapur były jednymi z krajów azjatyckich, które zwiększyły swoje zakupy złota w pierwszym kwartale, ze wzrostem odpowiednio o 27,06, 18,51 i 6,57 ton. </w:t>
      </w:r>
      <w:r w:rsidR="00B9594B">
        <w:rPr>
          <w:rFonts w:ascii="Tahoma" w:hAnsi="Tahoma" w:cs="Tahoma"/>
          <w:sz w:val="24"/>
          <w:szCs w:val="24"/>
        </w:rPr>
        <w:t xml:space="preserve">Nie można bagatelizować </w:t>
      </w:r>
      <w:r w:rsidR="00E17962" w:rsidRPr="00B9594B">
        <w:rPr>
          <w:rFonts w:ascii="Tahoma" w:hAnsi="Tahoma" w:cs="Tahoma"/>
          <w:sz w:val="24"/>
          <w:szCs w:val="24"/>
        </w:rPr>
        <w:t>transakcji detalicznych.</w:t>
      </w:r>
      <w:r w:rsidR="00B9594B">
        <w:rPr>
          <w:rFonts w:ascii="Tahoma" w:hAnsi="Tahoma" w:cs="Tahoma"/>
          <w:sz w:val="24"/>
          <w:szCs w:val="24"/>
        </w:rPr>
        <w:t xml:space="preserve"> </w:t>
      </w:r>
      <w:r w:rsidRPr="00B9594B">
        <w:rPr>
          <w:rFonts w:ascii="Tahoma" w:hAnsi="Tahoma" w:cs="Tahoma"/>
          <w:sz w:val="24"/>
          <w:szCs w:val="24"/>
        </w:rPr>
        <w:t xml:space="preserve">Moda na inwestowanie w złoto w Chinach rozpoczęła się jeszcze w roku </w:t>
      </w:r>
      <w:r w:rsidR="00B9594B">
        <w:rPr>
          <w:rFonts w:ascii="Tahoma" w:hAnsi="Tahoma" w:cs="Tahoma"/>
          <w:sz w:val="24"/>
          <w:szCs w:val="24"/>
        </w:rPr>
        <w:t>u</w:t>
      </w:r>
      <w:r w:rsidRPr="00B9594B">
        <w:rPr>
          <w:rFonts w:ascii="Tahoma" w:hAnsi="Tahoma" w:cs="Tahoma"/>
          <w:sz w:val="24"/>
          <w:szCs w:val="24"/>
        </w:rPr>
        <w:t>biegłym, gdy Chińczycy, którzy nie mogą inwestować w kryptowaluty, zaczęli masowo kupować złoto</w:t>
      </w:r>
      <w:r w:rsidR="00B9594B">
        <w:rPr>
          <w:rFonts w:ascii="Tahoma" w:hAnsi="Tahoma" w:cs="Tahoma"/>
          <w:sz w:val="24"/>
          <w:szCs w:val="24"/>
        </w:rPr>
        <w:t>.</w:t>
      </w:r>
      <w:r w:rsidRPr="00B9594B">
        <w:rPr>
          <w:rFonts w:ascii="Tahoma" w:hAnsi="Tahoma" w:cs="Tahoma"/>
          <w:sz w:val="24"/>
          <w:szCs w:val="24"/>
        </w:rPr>
        <w:t xml:space="preserve"> </w:t>
      </w:r>
      <w:r w:rsidR="00B9594B">
        <w:rPr>
          <w:rFonts w:ascii="Tahoma" w:hAnsi="Tahoma" w:cs="Tahoma"/>
          <w:sz w:val="24"/>
          <w:szCs w:val="24"/>
        </w:rPr>
        <w:t>T</w:t>
      </w:r>
      <w:r w:rsidRPr="00B9594B">
        <w:rPr>
          <w:rFonts w:ascii="Tahoma" w:hAnsi="Tahoma" w:cs="Tahoma"/>
          <w:sz w:val="24"/>
          <w:szCs w:val="24"/>
        </w:rPr>
        <w:t xml:space="preserve">akże w próbie obrony części wartości swojego dobytku po tąpnięciu na rynku nieruchomości. </w:t>
      </w:r>
      <w:r w:rsidR="00C84A55">
        <w:rPr>
          <w:rFonts w:ascii="Tahoma" w:hAnsi="Tahoma" w:cs="Tahoma"/>
          <w:sz w:val="24"/>
          <w:szCs w:val="24"/>
        </w:rPr>
        <w:t>I</w:t>
      </w:r>
      <w:r w:rsidRPr="00B9594B">
        <w:rPr>
          <w:rFonts w:ascii="Tahoma" w:hAnsi="Tahoma" w:cs="Tahoma"/>
          <w:sz w:val="24"/>
          <w:szCs w:val="24"/>
        </w:rPr>
        <w:t xml:space="preserve">nwestorzy z Chin </w:t>
      </w:r>
      <w:r w:rsidR="00C84A55">
        <w:rPr>
          <w:rFonts w:ascii="Tahoma" w:hAnsi="Tahoma" w:cs="Tahoma"/>
          <w:sz w:val="24"/>
          <w:szCs w:val="24"/>
        </w:rPr>
        <w:t xml:space="preserve">stoją też za wzrostem ceny </w:t>
      </w:r>
      <w:r w:rsidRPr="00B9594B">
        <w:rPr>
          <w:rFonts w:ascii="Tahoma" w:hAnsi="Tahoma" w:cs="Tahoma"/>
          <w:sz w:val="24"/>
          <w:szCs w:val="24"/>
        </w:rPr>
        <w:t>srebra</w:t>
      </w:r>
      <w:r w:rsidR="001E2689">
        <w:rPr>
          <w:rFonts w:ascii="Tahoma" w:hAnsi="Tahoma" w:cs="Tahoma"/>
          <w:sz w:val="24"/>
          <w:szCs w:val="24"/>
        </w:rPr>
        <w:t>. Z</w:t>
      </w:r>
      <w:r w:rsidR="001E2689" w:rsidRPr="001E2689">
        <w:rPr>
          <w:rFonts w:ascii="Tahoma" w:hAnsi="Tahoma" w:cs="Tahoma"/>
          <w:sz w:val="24"/>
          <w:szCs w:val="24"/>
        </w:rPr>
        <w:t>nalazła się ona na najwyższym poziomie od 11 lat, przebijając 30 USD za uncję. To od razu przywołuje na myśl dwa poprzednie istotne ruchy wzrostowe na srebrze. Pierwszy zryw cen srebra na około 1000% (tysiąc procent) miał miejsce w latach 1977-1980. Drugi zryw miał miejsce po wielkim kryzysie finansowym i wtedy skala wzrostów wyniosła niemal 500%. Obecnie, licząc nawet od Covidu, skala wzrostu ceny srebra to około 1</w:t>
      </w:r>
      <w:r w:rsidR="00C84A55">
        <w:rPr>
          <w:rFonts w:ascii="Tahoma" w:hAnsi="Tahoma" w:cs="Tahoma"/>
          <w:sz w:val="24"/>
          <w:szCs w:val="24"/>
        </w:rPr>
        <w:t>5</w:t>
      </w:r>
      <w:r w:rsidR="001E2689" w:rsidRPr="001E2689">
        <w:rPr>
          <w:rFonts w:ascii="Tahoma" w:hAnsi="Tahoma" w:cs="Tahoma"/>
          <w:sz w:val="24"/>
          <w:szCs w:val="24"/>
        </w:rPr>
        <w:t>0%. Stąd dla części inwestorów ruch ten wydaje się nie być jeszcze wyczerpany i po raz trzeci w historii mogą spoglądać na okolice 50 USD za uncję, gdzie w przeszłości ceny srebra docierały.</w:t>
      </w:r>
      <w:r w:rsidR="001E2689">
        <w:rPr>
          <w:rFonts w:ascii="Tahoma" w:hAnsi="Tahoma" w:cs="Tahoma"/>
          <w:sz w:val="24"/>
          <w:szCs w:val="24"/>
        </w:rPr>
        <w:t xml:space="preserve"> Bardzo dobrze wygląda tegoroczny „typ” czyli miedź.</w:t>
      </w:r>
      <w:r w:rsidR="00BD0E7F">
        <w:rPr>
          <w:rFonts w:ascii="Tahoma" w:hAnsi="Tahoma" w:cs="Tahoma"/>
          <w:sz w:val="24"/>
          <w:szCs w:val="24"/>
        </w:rPr>
        <w:t xml:space="preserve"> </w:t>
      </w:r>
      <w:r w:rsidR="00595714">
        <w:rPr>
          <w:rFonts w:ascii="Tahoma" w:hAnsi="Tahoma" w:cs="Tahoma"/>
          <w:sz w:val="24"/>
          <w:szCs w:val="24"/>
        </w:rPr>
        <w:t>Inwestorzy</w:t>
      </w:r>
      <w:r w:rsidRPr="00797F32">
        <w:rPr>
          <w:rFonts w:ascii="Tahoma" w:hAnsi="Tahoma" w:cs="Tahoma"/>
          <w:sz w:val="24"/>
          <w:szCs w:val="24"/>
        </w:rPr>
        <w:t xml:space="preserve"> zorientowa</w:t>
      </w:r>
      <w:r w:rsidR="00595714">
        <w:rPr>
          <w:rFonts w:ascii="Tahoma" w:hAnsi="Tahoma" w:cs="Tahoma"/>
          <w:sz w:val="24"/>
          <w:szCs w:val="24"/>
        </w:rPr>
        <w:t>li</w:t>
      </w:r>
      <w:r w:rsidRPr="00797F32">
        <w:rPr>
          <w:rFonts w:ascii="Tahoma" w:hAnsi="Tahoma" w:cs="Tahoma"/>
          <w:sz w:val="24"/>
          <w:szCs w:val="24"/>
        </w:rPr>
        <w:t xml:space="preserve"> się, że oprócz paneli fotowoltaicznych czy samochodów elektrycznych ogromny popyt na</w:t>
      </w:r>
      <w:r w:rsidR="00BD0E7F" w:rsidRPr="00797F32">
        <w:rPr>
          <w:rFonts w:ascii="Tahoma" w:hAnsi="Tahoma" w:cs="Tahoma"/>
          <w:sz w:val="24"/>
          <w:szCs w:val="24"/>
        </w:rPr>
        <w:t xml:space="preserve"> ten surowiec</w:t>
      </w:r>
      <w:r w:rsidRPr="00797F32">
        <w:rPr>
          <w:rFonts w:ascii="Tahoma" w:hAnsi="Tahoma" w:cs="Tahoma"/>
          <w:sz w:val="24"/>
          <w:szCs w:val="24"/>
        </w:rPr>
        <w:t xml:space="preserve"> może zgłaszać infrastruktura AI. Cena miedzi tym samym pobiła historyczny rekord, pnąc się w górę w ślad za prognozami niedoborów surowca.</w:t>
      </w:r>
    </w:p>
    <w:p w14:paraId="54ED7FAE" w14:textId="77777777" w:rsidR="00182134" w:rsidRDefault="00182134" w:rsidP="00182134">
      <w:pPr>
        <w:pStyle w:val="articlebodyblock"/>
        <w:jc w:val="both"/>
        <w:rPr>
          <w:rFonts w:ascii="Tahoma" w:hAnsi="Tahoma" w:cs="Tahoma"/>
          <w:color w:val="26272C"/>
        </w:rPr>
      </w:pPr>
      <w:r w:rsidRPr="00F012AE">
        <w:rPr>
          <w:rFonts w:ascii="Tahoma" w:hAnsi="Tahoma" w:cs="Tahoma"/>
          <w:color w:val="26272C"/>
        </w:rPr>
        <w:t>WALUTY</w:t>
      </w:r>
    </w:p>
    <w:p w14:paraId="5BED8717" w14:textId="56926943" w:rsidR="004E661A" w:rsidRPr="007C521F" w:rsidRDefault="00595714" w:rsidP="005A3F5B">
      <w:pPr>
        <w:jc w:val="both"/>
        <w:rPr>
          <w:rFonts w:ascii="Tahoma" w:hAnsi="Tahoma" w:cs="Tahoma"/>
          <w:sz w:val="24"/>
          <w:szCs w:val="24"/>
        </w:rPr>
      </w:pPr>
      <w:r>
        <w:rPr>
          <w:rFonts w:ascii="Tahoma" w:hAnsi="Tahoma" w:cs="Tahoma"/>
          <w:sz w:val="24"/>
          <w:szCs w:val="24"/>
        </w:rPr>
        <w:t>O</w:t>
      </w:r>
      <w:r w:rsidR="00A93F0D" w:rsidRPr="005A3F5B">
        <w:rPr>
          <w:rFonts w:ascii="Tahoma" w:hAnsi="Tahoma" w:cs="Tahoma"/>
          <w:sz w:val="24"/>
          <w:szCs w:val="24"/>
        </w:rPr>
        <w:t>becny poziom inflacji oraz stóp procentowych może spowodować, że gospodarka zacznie sobie gorzej radzić. W przypadku strefy euro,</w:t>
      </w:r>
      <w:r>
        <w:rPr>
          <w:rFonts w:ascii="Tahoma" w:hAnsi="Tahoma" w:cs="Tahoma"/>
          <w:sz w:val="24"/>
          <w:szCs w:val="24"/>
        </w:rPr>
        <w:t xml:space="preserve"> gdzie marazm w gospodarce jest dużo bardziej widoczny niż w USA,</w:t>
      </w:r>
      <w:r w:rsidR="00A93F0D" w:rsidRPr="005A3F5B">
        <w:rPr>
          <w:rFonts w:ascii="Tahoma" w:hAnsi="Tahoma" w:cs="Tahoma"/>
          <w:sz w:val="24"/>
          <w:szCs w:val="24"/>
        </w:rPr>
        <w:t xml:space="preserve"> niższe stopy są pożądane</w:t>
      </w:r>
      <w:r>
        <w:rPr>
          <w:rFonts w:ascii="Tahoma" w:hAnsi="Tahoma" w:cs="Tahoma"/>
          <w:sz w:val="24"/>
          <w:szCs w:val="24"/>
        </w:rPr>
        <w:t>.</w:t>
      </w:r>
      <w:r w:rsidR="00A93F0D" w:rsidRPr="005A3F5B">
        <w:rPr>
          <w:rFonts w:ascii="Tahoma" w:hAnsi="Tahoma" w:cs="Tahoma"/>
          <w:sz w:val="24"/>
          <w:szCs w:val="24"/>
        </w:rPr>
        <w:t xml:space="preserve"> Rynek wycenia ponad 99% prawdopodobieństwo obniżki stóp procentowych ze strony EBC w przyszły czwartek. </w:t>
      </w:r>
      <w:r w:rsidR="007C521F">
        <w:rPr>
          <w:rFonts w:ascii="Tahoma" w:hAnsi="Tahoma" w:cs="Tahoma"/>
          <w:sz w:val="24"/>
          <w:szCs w:val="24"/>
        </w:rPr>
        <w:t>S</w:t>
      </w:r>
      <w:r w:rsidR="00A93F0D" w:rsidRPr="005A3F5B">
        <w:rPr>
          <w:rFonts w:ascii="Tahoma" w:hAnsi="Tahoma" w:cs="Tahoma"/>
          <w:sz w:val="24"/>
          <w:szCs w:val="24"/>
        </w:rPr>
        <w:t xml:space="preserve">am EBC sugeruje, że można oczekiwać </w:t>
      </w:r>
      <w:r w:rsidR="0071393F">
        <w:rPr>
          <w:rFonts w:ascii="Tahoma" w:hAnsi="Tahoma" w:cs="Tahoma"/>
          <w:sz w:val="24"/>
          <w:szCs w:val="24"/>
        </w:rPr>
        <w:t>trzech</w:t>
      </w:r>
      <w:r w:rsidR="00A93F0D" w:rsidRPr="005A3F5B">
        <w:rPr>
          <w:rFonts w:ascii="Tahoma" w:hAnsi="Tahoma" w:cs="Tahoma"/>
          <w:sz w:val="24"/>
          <w:szCs w:val="24"/>
        </w:rPr>
        <w:t xml:space="preserve"> obniżek stóp procentowych w tym roku. To z kolei oznacza, że bazowy scenariusz zakłada obniżkę w czerwcu, wrześniu oraz grudniu.</w:t>
      </w:r>
      <w:r>
        <w:rPr>
          <w:rFonts w:ascii="Tahoma" w:hAnsi="Tahoma" w:cs="Tahoma"/>
          <w:sz w:val="24"/>
          <w:szCs w:val="24"/>
        </w:rPr>
        <w:t xml:space="preserve"> </w:t>
      </w:r>
      <w:r w:rsidRPr="005A3F5B">
        <w:rPr>
          <w:rFonts w:ascii="Tahoma" w:hAnsi="Tahoma" w:cs="Tahoma"/>
          <w:sz w:val="24"/>
          <w:szCs w:val="24"/>
        </w:rPr>
        <w:t xml:space="preserve">Wobec </w:t>
      </w:r>
      <w:r>
        <w:rPr>
          <w:rFonts w:ascii="Tahoma" w:hAnsi="Tahoma" w:cs="Tahoma"/>
          <w:sz w:val="24"/>
          <w:szCs w:val="24"/>
        </w:rPr>
        <w:t xml:space="preserve">niemal </w:t>
      </w:r>
      <w:r w:rsidRPr="005A3F5B">
        <w:rPr>
          <w:rFonts w:ascii="Tahoma" w:hAnsi="Tahoma" w:cs="Tahoma"/>
          <w:sz w:val="24"/>
          <w:szCs w:val="24"/>
        </w:rPr>
        <w:t>pewności obniżek, skąd siła euro?</w:t>
      </w:r>
      <w:r>
        <w:rPr>
          <w:rFonts w:ascii="Tahoma" w:hAnsi="Tahoma" w:cs="Tahoma"/>
          <w:sz w:val="24"/>
          <w:szCs w:val="24"/>
        </w:rPr>
        <w:t xml:space="preserve"> </w:t>
      </w:r>
      <w:r w:rsidR="00A93F0D" w:rsidRPr="005A3F5B">
        <w:rPr>
          <w:rFonts w:ascii="Tahoma" w:hAnsi="Tahoma" w:cs="Tahoma"/>
          <w:sz w:val="24"/>
          <w:szCs w:val="24"/>
        </w:rPr>
        <w:t>Wydaje się, że poziom EURUSD poni</w:t>
      </w:r>
      <w:r w:rsidR="007C521F">
        <w:rPr>
          <w:rFonts w:ascii="Tahoma" w:hAnsi="Tahoma" w:cs="Tahoma"/>
          <w:sz w:val="24"/>
          <w:szCs w:val="24"/>
        </w:rPr>
        <w:t>ż</w:t>
      </w:r>
      <w:r w:rsidR="00A93F0D" w:rsidRPr="005A3F5B">
        <w:rPr>
          <w:rFonts w:ascii="Tahoma" w:hAnsi="Tahoma" w:cs="Tahoma"/>
          <w:sz w:val="24"/>
          <w:szCs w:val="24"/>
        </w:rPr>
        <w:t xml:space="preserve">ej poziomu 1,10 odzwierciedla już </w:t>
      </w:r>
      <w:r w:rsidR="007C521F">
        <w:rPr>
          <w:rFonts w:ascii="Tahoma" w:hAnsi="Tahoma" w:cs="Tahoma"/>
          <w:sz w:val="24"/>
          <w:szCs w:val="24"/>
        </w:rPr>
        <w:t xml:space="preserve">rzeczone </w:t>
      </w:r>
      <w:r w:rsidR="00A93F0D" w:rsidRPr="005A3F5B">
        <w:rPr>
          <w:rFonts w:ascii="Tahoma" w:hAnsi="Tahoma" w:cs="Tahoma"/>
          <w:sz w:val="24"/>
          <w:szCs w:val="24"/>
        </w:rPr>
        <w:t>obniżk</w:t>
      </w:r>
      <w:r>
        <w:rPr>
          <w:rFonts w:ascii="Tahoma" w:hAnsi="Tahoma" w:cs="Tahoma"/>
          <w:sz w:val="24"/>
          <w:szCs w:val="24"/>
        </w:rPr>
        <w:t>i</w:t>
      </w:r>
      <w:r w:rsidR="007C521F">
        <w:rPr>
          <w:rFonts w:ascii="Tahoma" w:hAnsi="Tahoma" w:cs="Tahoma"/>
          <w:sz w:val="24"/>
          <w:szCs w:val="24"/>
        </w:rPr>
        <w:t>.</w:t>
      </w:r>
      <w:r w:rsidR="00A93F0D" w:rsidRPr="005A3F5B">
        <w:rPr>
          <w:rFonts w:ascii="Tahoma" w:hAnsi="Tahoma" w:cs="Tahoma"/>
          <w:sz w:val="24"/>
          <w:szCs w:val="24"/>
        </w:rPr>
        <w:t xml:space="preserve"> </w:t>
      </w:r>
      <w:r>
        <w:rPr>
          <w:rFonts w:ascii="Tahoma" w:hAnsi="Tahoma" w:cs="Tahoma"/>
          <w:sz w:val="24"/>
          <w:szCs w:val="24"/>
        </w:rPr>
        <w:t>N</w:t>
      </w:r>
      <w:r w:rsidR="00A93F0D" w:rsidRPr="005A3F5B">
        <w:rPr>
          <w:rFonts w:ascii="Tahoma" w:hAnsi="Tahoma" w:cs="Tahoma"/>
          <w:sz w:val="24"/>
          <w:szCs w:val="24"/>
        </w:rPr>
        <w:t>iższ</w:t>
      </w:r>
      <w:r w:rsidR="007C521F">
        <w:rPr>
          <w:rFonts w:ascii="Tahoma" w:hAnsi="Tahoma" w:cs="Tahoma"/>
          <w:sz w:val="24"/>
          <w:szCs w:val="24"/>
        </w:rPr>
        <w:t>y</w:t>
      </w:r>
      <w:r w:rsidR="00A93F0D" w:rsidRPr="005A3F5B">
        <w:rPr>
          <w:rFonts w:ascii="Tahoma" w:hAnsi="Tahoma" w:cs="Tahoma"/>
          <w:sz w:val="24"/>
          <w:szCs w:val="24"/>
        </w:rPr>
        <w:t xml:space="preserve"> poziom</w:t>
      </w:r>
      <w:r w:rsidR="0071393F">
        <w:rPr>
          <w:rFonts w:ascii="Tahoma" w:hAnsi="Tahoma" w:cs="Tahoma"/>
          <w:sz w:val="24"/>
          <w:szCs w:val="24"/>
        </w:rPr>
        <w:t>,</w:t>
      </w:r>
      <w:r w:rsidR="00A93F0D" w:rsidRPr="005A3F5B">
        <w:rPr>
          <w:rFonts w:ascii="Tahoma" w:hAnsi="Tahoma" w:cs="Tahoma"/>
          <w:sz w:val="24"/>
          <w:szCs w:val="24"/>
        </w:rPr>
        <w:t xml:space="preserve"> </w:t>
      </w:r>
      <w:r w:rsidR="0071393F">
        <w:rPr>
          <w:rFonts w:ascii="Tahoma" w:hAnsi="Tahoma" w:cs="Tahoma"/>
          <w:sz w:val="24"/>
          <w:szCs w:val="24"/>
        </w:rPr>
        <w:t xml:space="preserve">wejście notowań w przedział </w:t>
      </w:r>
      <w:r w:rsidR="00A93F0D" w:rsidRPr="005A3F5B">
        <w:rPr>
          <w:rFonts w:ascii="Tahoma" w:hAnsi="Tahoma" w:cs="Tahoma"/>
          <w:sz w:val="24"/>
          <w:szCs w:val="24"/>
        </w:rPr>
        <w:t>1,06-1,07</w:t>
      </w:r>
      <w:r w:rsidR="0071393F">
        <w:rPr>
          <w:rFonts w:ascii="Tahoma" w:hAnsi="Tahoma" w:cs="Tahoma"/>
          <w:sz w:val="24"/>
          <w:szCs w:val="24"/>
        </w:rPr>
        <w:t>,</w:t>
      </w:r>
      <w:r w:rsidR="00A93F0D" w:rsidRPr="005A3F5B">
        <w:rPr>
          <w:rFonts w:ascii="Tahoma" w:hAnsi="Tahoma" w:cs="Tahoma"/>
          <w:sz w:val="24"/>
          <w:szCs w:val="24"/>
        </w:rPr>
        <w:t xml:space="preserve"> musiał</w:t>
      </w:r>
      <w:r w:rsidR="007C521F">
        <w:rPr>
          <w:rFonts w:ascii="Tahoma" w:hAnsi="Tahoma" w:cs="Tahoma"/>
          <w:sz w:val="24"/>
          <w:szCs w:val="24"/>
        </w:rPr>
        <w:t>o</w:t>
      </w:r>
      <w:r w:rsidR="00A93F0D" w:rsidRPr="005A3F5B">
        <w:rPr>
          <w:rFonts w:ascii="Tahoma" w:hAnsi="Tahoma" w:cs="Tahoma"/>
          <w:sz w:val="24"/>
          <w:szCs w:val="24"/>
        </w:rPr>
        <w:t>by być uzasadnion</w:t>
      </w:r>
      <w:r w:rsidR="007C521F">
        <w:rPr>
          <w:rFonts w:ascii="Tahoma" w:hAnsi="Tahoma" w:cs="Tahoma"/>
          <w:sz w:val="24"/>
          <w:szCs w:val="24"/>
        </w:rPr>
        <w:t>e</w:t>
      </w:r>
      <w:r w:rsidR="00A93F0D" w:rsidRPr="005A3F5B">
        <w:rPr>
          <w:rFonts w:ascii="Tahoma" w:hAnsi="Tahoma" w:cs="Tahoma"/>
          <w:sz w:val="24"/>
          <w:szCs w:val="24"/>
        </w:rPr>
        <w:t xml:space="preserve"> </w:t>
      </w:r>
      <w:r w:rsidR="00820056">
        <w:rPr>
          <w:rFonts w:ascii="Tahoma" w:hAnsi="Tahoma" w:cs="Tahoma"/>
          <w:sz w:val="24"/>
          <w:szCs w:val="24"/>
        </w:rPr>
        <w:t>dalszym przesunięciem się w czasie amerykańskich obniżek</w:t>
      </w:r>
      <w:r w:rsidR="00A93F0D" w:rsidRPr="005A3F5B">
        <w:rPr>
          <w:rFonts w:ascii="Tahoma" w:hAnsi="Tahoma" w:cs="Tahoma"/>
          <w:sz w:val="24"/>
          <w:szCs w:val="24"/>
        </w:rPr>
        <w:t xml:space="preserve">. </w:t>
      </w:r>
      <w:r w:rsidR="00F401C5" w:rsidRPr="005A3F5B">
        <w:rPr>
          <w:rFonts w:ascii="Tahoma" w:hAnsi="Tahoma" w:cs="Tahoma"/>
          <w:sz w:val="24"/>
          <w:szCs w:val="24"/>
        </w:rPr>
        <w:t xml:space="preserve">Zmniejsza nam się nadwyżka w wymianie z zagranicą, a złoty znów umacnia się wyraźniej, niż w ciągu ostatnich </w:t>
      </w:r>
      <w:r w:rsidR="0071393F">
        <w:rPr>
          <w:rFonts w:ascii="Tahoma" w:hAnsi="Tahoma" w:cs="Tahoma"/>
          <w:sz w:val="24"/>
          <w:szCs w:val="24"/>
        </w:rPr>
        <w:t xml:space="preserve">paru </w:t>
      </w:r>
      <w:r w:rsidR="00F401C5" w:rsidRPr="005A3F5B">
        <w:rPr>
          <w:rFonts w:ascii="Tahoma" w:hAnsi="Tahoma" w:cs="Tahoma"/>
          <w:sz w:val="24"/>
          <w:szCs w:val="24"/>
        </w:rPr>
        <w:t xml:space="preserve">tygodni. Jego notowania w najbliższych </w:t>
      </w:r>
      <w:r w:rsidR="00820056">
        <w:rPr>
          <w:rFonts w:ascii="Tahoma" w:hAnsi="Tahoma" w:cs="Tahoma"/>
          <w:sz w:val="24"/>
          <w:szCs w:val="24"/>
        </w:rPr>
        <w:t>dniach</w:t>
      </w:r>
      <w:r w:rsidR="00F401C5" w:rsidRPr="005A3F5B">
        <w:rPr>
          <w:rFonts w:ascii="Tahoma" w:hAnsi="Tahoma" w:cs="Tahoma"/>
          <w:sz w:val="24"/>
          <w:szCs w:val="24"/>
        </w:rPr>
        <w:t xml:space="preserve"> będą zależeć od nowych danych </w:t>
      </w:r>
      <w:r w:rsidR="00820056">
        <w:rPr>
          <w:rFonts w:ascii="Tahoma" w:hAnsi="Tahoma" w:cs="Tahoma"/>
          <w:sz w:val="24"/>
          <w:szCs w:val="24"/>
        </w:rPr>
        <w:t>z</w:t>
      </w:r>
      <w:r w:rsidR="00F401C5" w:rsidRPr="005A3F5B">
        <w:rPr>
          <w:rFonts w:ascii="Tahoma" w:hAnsi="Tahoma" w:cs="Tahoma"/>
          <w:sz w:val="24"/>
          <w:szCs w:val="24"/>
        </w:rPr>
        <w:t xml:space="preserve"> USA</w:t>
      </w:r>
      <w:r w:rsidR="007C521F">
        <w:rPr>
          <w:rFonts w:ascii="Tahoma" w:hAnsi="Tahoma" w:cs="Tahoma"/>
          <w:sz w:val="24"/>
          <w:szCs w:val="24"/>
        </w:rPr>
        <w:t xml:space="preserve"> i jeśli tylko te, będą przynajmniej zgodne z oczekiwaniami, </w:t>
      </w:r>
      <w:r w:rsidR="007C521F" w:rsidRPr="007C521F">
        <w:rPr>
          <w:rFonts w:ascii="Tahoma" w:hAnsi="Tahoma" w:cs="Tahoma"/>
          <w:sz w:val="24"/>
          <w:szCs w:val="24"/>
        </w:rPr>
        <w:t>zobaczymy próbę przekroczenia poziomu 4,25 zł na EURPLN. W przypadku dolara ważnym poziomem jest pułap 3,90 zł, który również wydaje się możliwy do osiągnięcia w nadchodzący</w:t>
      </w:r>
      <w:r w:rsidR="007C521F">
        <w:rPr>
          <w:rFonts w:ascii="Tahoma" w:hAnsi="Tahoma" w:cs="Tahoma"/>
          <w:sz w:val="24"/>
          <w:szCs w:val="24"/>
        </w:rPr>
        <w:t>m</w:t>
      </w:r>
      <w:r w:rsidR="007C521F" w:rsidRPr="007C521F">
        <w:rPr>
          <w:rFonts w:ascii="Tahoma" w:hAnsi="Tahoma" w:cs="Tahoma"/>
          <w:sz w:val="24"/>
          <w:szCs w:val="24"/>
        </w:rPr>
        <w:t xml:space="preserve"> </w:t>
      </w:r>
      <w:r w:rsidR="007C521F">
        <w:rPr>
          <w:rFonts w:ascii="Tahoma" w:hAnsi="Tahoma" w:cs="Tahoma"/>
          <w:sz w:val="24"/>
          <w:szCs w:val="24"/>
        </w:rPr>
        <w:lastRenderedPageBreak/>
        <w:t>miesiącu</w:t>
      </w:r>
      <w:r w:rsidR="007C521F" w:rsidRPr="007C521F">
        <w:rPr>
          <w:rFonts w:ascii="Tahoma" w:hAnsi="Tahoma" w:cs="Tahoma"/>
          <w:sz w:val="24"/>
          <w:szCs w:val="24"/>
        </w:rPr>
        <w:t xml:space="preserve">. Złotemu mocno pomaga </w:t>
      </w:r>
      <w:r w:rsidR="007C521F">
        <w:rPr>
          <w:rFonts w:ascii="Tahoma" w:hAnsi="Tahoma" w:cs="Tahoma"/>
          <w:sz w:val="24"/>
          <w:szCs w:val="24"/>
        </w:rPr>
        <w:t>proces dezinflacyjny w połączeniu z dysparytetem stóp banków centralnych.</w:t>
      </w:r>
    </w:p>
    <w:sectPr w:rsidR="004E661A" w:rsidRPr="007C52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7648C" w14:textId="77777777" w:rsidR="00B850D3" w:rsidRDefault="00B850D3" w:rsidP="0070436C">
      <w:pPr>
        <w:spacing w:after="0" w:line="240" w:lineRule="auto"/>
      </w:pPr>
      <w:r>
        <w:separator/>
      </w:r>
    </w:p>
  </w:endnote>
  <w:endnote w:type="continuationSeparator" w:id="0">
    <w:p w14:paraId="00055201" w14:textId="77777777" w:rsidR="00B850D3" w:rsidRDefault="00B850D3" w:rsidP="0070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88499" w14:textId="77777777" w:rsidR="00B850D3" w:rsidRDefault="00B850D3" w:rsidP="0070436C">
      <w:pPr>
        <w:spacing w:after="0" w:line="240" w:lineRule="auto"/>
      </w:pPr>
      <w:r>
        <w:separator/>
      </w:r>
    </w:p>
  </w:footnote>
  <w:footnote w:type="continuationSeparator" w:id="0">
    <w:p w14:paraId="7D439D14" w14:textId="77777777" w:rsidR="00B850D3" w:rsidRDefault="00B850D3" w:rsidP="00704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A8"/>
    <w:rsid w:val="00031B2C"/>
    <w:rsid w:val="0004424F"/>
    <w:rsid w:val="0005537E"/>
    <w:rsid w:val="000572B9"/>
    <w:rsid w:val="000603B1"/>
    <w:rsid w:val="00060D04"/>
    <w:rsid w:val="000C0A32"/>
    <w:rsid w:val="00112DE7"/>
    <w:rsid w:val="00160337"/>
    <w:rsid w:val="0016145C"/>
    <w:rsid w:val="00182134"/>
    <w:rsid w:val="001B5099"/>
    <w:rsid w:val="001E2689"/>
    <w:rsid w:val="002034AD"/>
    <w:rsid w:val="002D145E"/>
    <w:rsid w:val="002E1A9C"/>
    <w:rsid w:val="002E58BF"/>
    <w:rsid w:val="002F3DE8"/>
    <w:rsid w:val="002F7B37"/>
    <w:rsid w:val="003060AE"/>
    <w:rsid w:val="003107AE"/>
    <w:rsid w:val="003E08E1"/>
    <w:rsid w:val="003E630F"/>
    <w:rsid w:val="003F11EA"/>
    <w:rsid w:val="003F7A38"/>
    <w:rsid w:val="004079C0"/>
    <w:rsid w:val="004273DC"/>
    <w:rsid w:val="00462B24"/>
    <w:rsid w:val="00474BB8"/>
    <w:rsid w:val="004B5116"/>
    <w:rsid w:val="004C4369"/>
    <w:rsid w:val="004D1B26"/>
    <w:rsid w:val="004D5856"/>
    <w:rsid w:val="004E661A"/>
    <w:rsid w:val="004F3CF6"/>
    <w:rsid w:val="00511808"/>
    <w:rsid w:val="00513FF9"/>
    <w:rsid w:val="00556389"/>
    <w:rsid w:val="00564A3B"/>
    <w:rsid w:val="00576D21"/>
    <w:rsid w:val="005937B4"/>
    <w:rsid w:val="00595714"/>
    <w:rsid w:val="005A3F5B"/>
    <w:rsid w:val="005B209A"/>
    <w:rsid w:val="005B4D7D"/>
    <w:rsid w:val="005D4FDD"/>
    <w:rsid w:val="005F6B84"/>
    <w:rsid w:val="006416EC"/>
    <w:rsid w:val="00652EDE"/>
    <w:rsid w:val="006628FC"/>
    <w:rsid w:val="00674CA8"/>
    <w:rsid w:val="00682CB8"/>
    <w:rsid w:val="006976D2"/>
    <w:rsid w:val="006B411A"/>
    <w:rsid w:val="006B573D"/>
    <w:rsid w:val="006D01C7"/>
    <w:rsid w:val="006D0B7E"/>
    <w:rsid w:val="006F67F3"/>
    <w:rsid w:val="006F6F9D"/>
    <w:rsid w:val="007034F6"/>
    <w:rsid w:val="0070436C"/>
    <w:rsid w:val="00712115"/>
    <w:rsid w:val="0071393F"/>
    <w:rsid w:val="00721310"/>
    <w:rsid w:val="00721525"/>
    <w:rsid w:val="00727444"/>
    <w:rsid w:val="0077301C"/>
    <w:rsid w:val="00794925"/>
    <w:rsid w:val="00797F32"/>
    <w:rsid w:val="007C521F"/>
    <w:rsid w:val="00807FCE"/>
    <w:rsid w:val="00820056"/>
    <w:rsid w:val="0082694F"/>
    <w:rsid w:val="008676C7"/>
    <w:rsid w:val="00895293"/>
    <w:rsid w:val="008B1C84"/>
    <w:rsid w:val="008B6EFF"/>
    <w:rsid w:val="008D1683"/>
    <w:rsid w:val="0096156C"/>
    <w:rsid w:val="00962A8F"/>
    <w:rsid w:val="00967F18"/>
    <w:rsid w:val="00974943"/>
    <w:rsid w:val="00995862"/>
    <w:rsid w:val="009B63B8"/>
    <w:rsid w:val="009C10C1"/>
    <w:rsid w:val="009D32A8"/>
    <w:rsid w:val="00A022D7"/>
    <w:rsid w:val="00A027BD"/>
    <w:rsid w:val="00A316A4"/>
    <w:rsid w:val="00A32BBB"/>
    <w:rsid w:val="00A40C3F"/>
    <w:rsid w:val="00A76E16"/>
    <w:rsid w:val="00A93F0D"/>
    <w:rsid w:val="00A94F05"/>
    <w:rsid w:val="00AA308C"/>
    <w:rsid w:val="00AE1A21"/>
    <w:rsid w:val="00B129FF"/>
    <w:rsid w:val="00B44E40"/>
    <w:rsid w:val="00B54462"/>
    <w:rsid w:val="00B6593B"/>
    <w:rsid w:val="00B73A31"/>
    <w:rsid w:val="00B850D3"/>
    <w:rsid w:val="00B92A77"/>
    <w:rsid w:val="00B9594B"/>
    <w:rsid w:val="00BB0A43"/>
    <w:rsid w:val="00BB5306"/>
    <w:rsid w:val="00BD0E7F"/>
    <w:rsid w:val="00C15246"/>
    <w:rsid w:val="00C16B04"/>
    <w:rsid w:val="00C220F3"/>
    <w:rsid w:val="00C376E4"/>
    <w:rsid w:val="00C437E2"/>
    <w:rsid w:val="00C83934"/>
    <w:rsid w:val="00C84A55"/>
    <w:rsid w:val="00C85A45"/>
    <w:rsid w:val="00CA31D3"/>
    <w:rsid w:val="00CC11CC"/>
    <w:rsid w:val="00CC55EE"/>
    <w:rsid w:val="00CF1384"/>
    <w:rsid w:val="00D86D0B"/>
    <w:rsid w:val="00DA2DD9"/>
    <w:rsid w:val="00DA7625"/>
    <w:rsid w:val="00E01F4B"/>
    <w:rsid w:val="00E05E3A"/>
    <w:rsid w:val="00E17962"/>
    <w:rsid w:val="00E22C23"/>
    <w:rsid w:val="00E56602"/>
    <w:rsid w:val="00EC2BD1"/>
    <w:rsid w:val="00ED5AB2"/>
    <w:rsid w:val="00EE2E98"/>
    <w:rsid w:val="00EE373E"/>
    <w:rsid w:val="00EE413C"/>
    <w:rsid w:val="00EE6728"/>
    <w:rsid w:val="00EF1819"/>
    <w:rsid w:val="00F13518"/>
    <w:rsid w:val="00F401C5"/>
    <w:rsid w:val="00F50DBA"/>
    <w:rsid w:val="00F53B2F"/>
    <w:rsid w:val="00F56CC5"/>
    <w:rsid w:val="00F77A3C"/>
    <w:rsid w:val="00F839A3"/>
    <w:rsid w:val="00F86290"/>
    <w:rsid w:val="00F9599B"/>
    <w:rsid w:val="00F96DDF"/>
    <w:rsid w:val="00FA2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B344"/>
  <w15:chartTrackingRefBased/>
  <w15:docId w15:val="{36890C75-2A4B-49EB-947B-DEC2D957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iclebodyblock">
    <w:name w:val="articlebodyblock"/>
    <w:basedOn w:val="Normalny"/>
    <w:rsid w:val="004E661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CC11CC"/>
    <w:rPr>
      <w:color w:val="0000FF"/>
      <w:u w:val="single"/>
    </w:rPr>
  </w:style>
  <w:style w:type="paragraph" w:styleId="NormalnyWeb">
    <w:name w:val="Normal (Web)"/>
    <w:basedOn w:val="Normalny"/>
    <w:uiPriority w:val="99"/>
    <w:semiHidden/>
    <w:unhideWhenUsed/>
    <w:rsid w:val="00652ED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lead">
    <w:name w:val="lead"/>
    <w:basedOn w:val="Domylnaczcionkaakapitu"/>
    <w:rsid w:val="00682CB8"/>
  </w:style>
  <w:style w:type="character" w:customStyle="1" w:styleId="markedcontent">
    <w:name w:val="markedcontent"/>
    <w:basedOn w:val="Domylnaczcionkaakapitu"/>
    <w:rsid w:val="00B129FF"/>
  </w:style>
  <w:style w:type="character" w:styleId="Pogrubienie">
    <w:name w:val="Strong"/>
    <w:basedOn w:val="Domylnaczcionkaakapitu"/>
    <w:uiPriority w:val="22"/>
    <w:qFormat/>
    <w:rsid w:val="008D1683"/>
    <w:rPr>
      <w:b/>
      <w:bCs/>
    </w:rPr>
  </w:style>
  <w:style w:type="paragraph" w:styleId="Tekstprzypisukocowego">
    <w:name w:val="endnote text"/>
    <w:basedOn w:val="Normalny"/>
    <w:link w:val="TekstprzypisukocowegoZnak"/>
    <w:uiPriority w:val="99"/>
    <w:semiHidden/>
    <w:unhideWhenUsed/>
    <w:rsid w:val="007043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436C"/>
    <w:rPr>
      <w:sz w:val="20"/>
      <w:szCs w:val="20"/>
    </w:rPr>
  </w:style>
  <w:style w:type="character" w:styleId="Odwoanieprzypisukocowego">
    <w:name w:val="endnote reference"/>
    <w:basedOn w:val="Domylnaczcionkaakapitu"/>
    <w:uiPriority w:val="99"/>
    <w:semiHidden/>
    <w:unhideWhenUsed/>
    <w:rsid w:val="0070436C"/>
    <w:rPr>
      <w:vertAlign w:val="superscript"/>
    </w:rPr>
  </w:style>
  <w:style w:type="character" w:customStyle="1" w:styleId="adtitle">
    <w:name w:val="adtitle"/>
    <w:basedOn w:val="Domylnaczcionkaakapitu"/>
    <w:rsid w:val="00C1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4902">
      <w:bodyDiv w:val="1"/>
      <w:marLeft w:val="0"/>
      <w:marRight w:val="0"/>
      <w:marTop w:val="0"/>
      <w:marBottom w:val="0"/>
      <w:divBdr>
        <w:top w:val="none" w:sz="0" w:space="0" w:color="auto"/>
        <w:left w:val="none" w:sz="0" w:space="0" w:color="auto"/>
        <w:bottom w:val="none" w:sz="0" w:space="0" w:color="auto"/>
        <w:right w:val="none" w:sz="0" w:space="0" w:color="auto"/>
      </w:divBdr>
    </w:div>
    <w:div w:id="294912201">
      <w:bodyDiv w:val="1"/>
      <w:marLeft w:val="0"/>
      <w:marRight w:val="0"/>
      <w:marTop w:val="0"/>
      <w:marBottom w:val="0"/>
      <w:divBdr>
        <w:top w:val="none" w:sz="0" w:space="0" w:color="auto"/>
        <w:left w:val="none" w:sz="0" w:space="0" w:color="auto"/>
        <w:bottom w:val="none" w:sz="0" w:space="0" w:color="auto"/>
        <w:right w:val="none" w:sz="0" w:space="0" w:color="auto"/>
      </w:divBdr>
      <w:divsChild>
        <w:div w:id="1588885856">
          <w:marLeft w:val="0"/>
          <w:marRight w:val="0"/>
          <w:marTop w:val="0"/>
          <w:marBottom w:val="0"/>
          <w:divBdr>
            <w:top w:val="none" w:sz="0" w:space="0" w:color="auto"/>
            <w:left w:val="none" w:sz="0" w:space="0" w:color="auto"/>
            <w:bottom w:val="none" w:sz="0" w:space="0" w:color="auto"/>
            <w:right w:val="none" w:sz="0" w:space="0" w:color="auto"/>
          </w:divBdr>
          <w:divsChild>
            <w:div w:id="8071463">
              <w:marLeft w:val="0"/>
              <w:marRight w:val="0"/>
              <w:marTop w:val="0"/>
              <w:marBottom w:val="0"/>
              <w:divBdr>
                <w:top w:val="none" w:sz="0" w:space="0" w:color="auto"/>
                <w:left w:val="none" w:sz="0" w:space="0" w:color="auto"/>
                <w:bottom w:val="none" w:sz="0" w:space="0" w:color="auto"/>
                <w:right w:val="none" w:sz="0" w:space="0" w:color="auto"/>
              </w:divBdr>
              <w:divsChild>
                <w:div w:id="2087611329">
                  <w:marLeft w:val="0"/>
                  <w:marRight w:val="0"/>
                  <w:marTop w:val="0"/>
                  <w:marBottom w:val="0"/>
                  <w:divBdr>
                    <w:top w:val="none" w:sz="0" w:space="0" w:color="auto"/>
                    <w:left w:val="none" w:sz="0" w:space="0" w:color="auto"/>
                    <w:bottom w:val="none" w:sz="0" w:space="0" w:color="auto"/>
                    <w:right w:val="none" w:sz="0" w:space="0" w:color="auto"/>
                  </w:divBdr>
                  <w:divsChild>
                    <w:div w:id="95563432">
                      <w:marLeft w:val="0"/>
                      <w:marRight w:val="0"/>
                      <w:marTop w:val="0"/>
                      <w:marBottom w:val="0"/>
                      <w:divBdr>
                        <w:top w:val="none" w:sz="0" w:space="0" w:color="auto"/>
                        <w:left w:val="none" w:sz="0" w:space="0" w:color="auto"/>
                        <w:bottom w:val="none" w:sz="0" w:space="0" w:color="auto"/>
                        <w:right w:val="none" w:sz="0" w:space="0" w:color="auto"/>
                      </w:divBdr>
                      <w:divsChild>
                        <w:div w:id="37315524">
                          <w:marLeft w:val="0"/>
                          <w:marRight w:val="0"/>
                          <w:marTop w:val="0"/>
                          <w:marBottom w:val="0"/>
                          <w:divBdr>
                            <w:top w:val="none" w:sz="0" w:space="0" w:color="auto"/>
                            <w:left w:val="none" w:sz="0" w:space="0" w:color="auto"/>
                            <w:bottom w:val="none" w:sz="0" w:space="0" w:color="auto"/>
                            <w:right w:val="none" w:sz="0" w:space="0" w:color="auto"/>
                          </w:divBdr>
                          <w:divsChild>
                            <w:div w:id="101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34241">
      <w:bodyDiv w:val="1"/>
      <w:marLeft w:val="0"/>
      <w:marRight w:val="0"/>
      <w:marTop w:val="0"/>
      <w:marBottom w:val="0"/>
      <w:divBdr>
        <w:top w:val="none" w:sz="0" w:space="0" w:color="auto"/>
        <w:left w:val="none" w:sz="0" w:space="0" w:color="auto"/>
        <w:bottom w:val="none" w:sz="0" w:space="0" w:color="auto"/>
        <w:right w:val="none" w:sz="0" w:space="0" w:color="auto"/>
      </w:divBdr>
      <w:divsChild>
        <w:div w:id="2008051524">
          <w:marLeft w:val="0"/>
          <w:marRight w:val="0"/>
          <w:marTop w:val="0"/>
          <w:marBottom w:val="0"/>
          <w:divBdr>
            <w:top w:val="none" w:sz="0" w:space="0" w:color="auto"/>
            <w:left w:val="none" w:sz="0" w:space="0" w:color="auto"/>
            <w:bottom w:val="none" w:sz="0" w:space="0" w:color="auto"/>
            <w:right w:val="none" w:sz="0" w:space="0" w:color="auto"/>
          </w:divBdr>
        </w:div>
      </w:divsChild>
    </w:div>
    <w:div w:id="914825059">
      <w:bodyDiv w:val="1"/>
      <w:marLeft w:val="0"/>
      <w:marRight w:val="0"/>
      <w:marTop w:val="0"/>
      <w:marBottom w:val="0"/>
      <w:divBdr>
        <w:top w:val="none" w:sz="0" w:space="0" w:color="auto"/>
        <w:left w:val="none" w:sz="0" w:space="0" w:color="auto"/>
        <w:bottom w:val="none" w:sz="0" w:space="0" w:color="auto"/>
        <w:right w:val="none" w:sz="0" w:space="0" w:color="auto"/>
      </w:divBdr>
    </w:div>
    <w:div w:id="982126553">
      <w:bodyDiv w:val="1"/>
      <w:marLeft w:val="0"/>
      <w:marRight w:val="0"/>
      <w:marTop w:val="0"/>
      <w:marBottom w:val="0"/>
      <w:divBdr>
        <w:top w:val="none" w:sz="0" w:space="0" w:color="auto"/>
        <w:left w:val="none" w:sz="0" w:space="0" w:color="auto"/>
        <w:bottom w:val="none" w:sz="0" w:space="0" w:color="auto"/>
        <w:right w:val="none" w:sz="0" w:space="0" w:color="auto"/>
      </w:divBdr>
    </w:div>
    <w:div w:id="982926016">
      <w:bodyDiv w:val="1"/>
      <w:marLeft w:val="0"/>
      <w:marRight w:val="0"/>
      <w:marTop w:val="0"/>
      <w:marBottom w:val="0"/>
      <w:divBdr>
        <w:top w:val="none" w:sz="0" w:space="0" w:color="auto"/>
        <w:left w:val="none" w:sz="0" w:space="0" w:color="auto"/>
        <w:bottom w:val="none" w:sz="0" w:space="0" w:color="auto"/>
        <w:right w:val="none" w:sz="0" w:space="0" w:color="auto"/>
      </w:divBdr>
    </w:div>
    <w:div w:id="1167750254">
      <w:bodyDiv w:val="1"/>
      <w:marLeft w:val="0"/>
      <w:marRight w:val="0"/>
      <w:marTop w:val="0"/>
      <w:marBottom w:val="0"/>
      <w:divBdr>
        <w:top w:val="none" w:sz="0" w:space="0" w:color="auto"/>
        <w:left w:val="none" w:sz="0" w:space="0" w:color="auto"/>
        <w:bottom w:val="none" w:sz="0" w:space="0" w:color="auto"/>
        <w:right w:val="none" w:sz="0" w:space="0" w:color="auto"/>
      </w:divBdr>
    </w:div>
    <w:div w:id="1241869617">
      <w:bodyDiv w:val="1"/>
      <w:marLeft w:val="0"/>
      <w:marRight w:val="0"/>
      <w:marTop w:val="0"/>
      <w:marBottom w:val="0"/>
      <w:divBdr>
        <w:top w:val="none" w:sz="0" w:space="0" w:color="auto"/>
        <w:left w:val="none" w:sz="0" w:space="0" w:color="auto"/>
        <w:bottom w:val="none" w:sz="0" w:space="0" w:color="auto"/>
        <w:right w:val="none" w:sz="0" w:space="0" w:color="auto"/>
      </w:divBdr>
    </w:div>
    <w:div w:id="1275399900">
      <w:bodyDiv w:val="1"/>
      <w:marLeft w:val="0"/>
      <w:marRight w:val="0"/>
      <w:marTop w:val="0"/>
      <w:marBottom w:val="0"/>
      <w:divBdr>
        <w:top w:val="none" w:sz="0" w:space="0" w:color="auto"/>
        <w:left w:val="none" w:sz="0" w:space="0" w:color="auto"/>
        <w:bottom w:val="none" w:sz="0" w:space="0" w:color="auto"/>
        <w:right w:val="none" w:sz="0" w:space="0" w:color="auto"/>
      </w:divBdr>
    </w:div>
    <w:div w:id="2042238441">
      <w:bodyDiv w:val="1"/>
      <w:marLeft w:val="0"/>
      <w:marRight w:val="0"/>
      <w:marTop w:val="0"/>
      <w:marBottom w:val="0"/>
      <w:divBdr>
        <w:top w:val="none" w:sz="0" w:space="0" w:color="auto"/>
        <w:left w:val="none" w:sz="0" w:space="0" w:color="auto"/>
        <w:bottom w:val="none" w:sz="0" w:space="0" w:color="auto"/>
        <w:right w:val="none" w:sz="0" w:space="0" w:color="auto"/>
      </w:divBdr>
      <w:divsChild>
        <w:div w:id="1910991122">
          <w:marLeft w:val="0"/>
          <w:marRight w:val="0"/>
          <w:marTop w:val="0"/>
          <w:marBottom w:val="0"/>
          <w:divBdr>
            <w:top w:val="none" w:sz="0" w:space="0" w:color="auto"/>
            <w:left w:val="none" w:sz="0" w:space="0" w:color="auto"/>
            <w:bottom w:val="none" w:sz="0" w:space="0" w:color="auto"/>
            <w:right w:val="none" w:sz="0" w:space="0" w:color="auto"/>
          </w:divBdr>
          <w:divsChild>
            <w:div w:id="135880574">
              <w:marLeft w:val="0"/>
              <w:marRight w:val="0"/>
              <w:marTop w:val="0"/>
              <w:marBottom w:val="0"/>
              <w:divBdr>
                <w:top w:val="none" w:sz="0" w:space="0" w:color="auto"/>
                <w:left w:val="none" w:sz="0" w:space="0" w:color="auto"/>
                <w:bottom w:val="none" w:sz="0" w:space="0" w:color="auto"/>
                <w:right w:val="none" w:sz="0" w:space="0" w:color="auto"/>
              </w:divBdr>
            </w:div>
            <w:div w:id="316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4</Pages>
  <Words>1438</Words>
  <Characters>8630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Lau</dc:creator>
  <cp:keywords/>
  <dc:description/>
  <cp:lastModifiedBy>Marcin Lau</cp:lastModifiedBy>
  <cp:revision>56</cp:revision>
  <dcterms:created xsi:type="dcterms:W3CDTF">2024-05-14T18:28:00Z</dcterms:created>
  <dcterms:modified xsi:type="dcterms:W3CDTF">2024-05-31T12:59:00Z</dcterms:modified>
</cp:coreProperties>
</file>