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8210B" w14:textId="77777777" w:rsidR="00865130" w:rsidRPr="00E3754C" w:rsidRDefault="00865130" w:rsidP="00865130">
      <w:pPr>
        <w:spacing w:before="100" w:beforeAutospacing="1" w:after="100" w:afterAutospacing="1" w:line="308" w:lineRule="atLeast"/>
        <w:jc w:val="both"/>
        <w:outlineLvl w:val="2"/>
        <w:rPr>
          <w:rFonts w:asciiTheme="majorHAnsi" w:eastAsia="Times New Roman" w:hAnsiTheme="majorHAnsi" w:cstheme="majorHAnsi"/>
          <w:b/>
          <w:bCs/>
          <w:sz w:val="24"/>
          <w:szCs w:val="24"/>
          <w:lang w:eastAsia="pl-PL"/>
        </w:rPr>
      </w:pPr>
      <w:r w:rsidRPr="00E3754C">
        <w:rPr>
          <w:rFonts w:asciiTheme="majorHAnsi" w:eastAsia="Times New Roman" w:hAnsiTheme="majorHAnsi" w:cstheme="majorHAnsi"/>
          <w:b/>
          <w:bCs/>
          <w:sz w:val="24"/>
          <w:szCs w:val="24"/>
          <w:lang w:eastAsia="pl-PL"/>
        </w:rPr>
        <w:t>Akcja</w:t>
      </w:r>
    </w:p>
    <w:p w14:paraId="4A087258" w14:textId="77777777" w:rsidR="00865130" w:rsidRPr="00E3754C" w:rsidRDefault="00865130" w:rsidP="00865130">
      <w:pPr>
        <w:spacing w:before="100" w:beforeAutospacing="1" w:after="100" w:afterAutospacing="1" w:line="308" w:lineRule="atLeast"/>
        <w:ind w:left="708"/>
        <w:jc w:val="both"/>
        <w:outlineLvl w:val="2"/>
        <w:rPr>
          <w:rFonts w:asciiTheme="majorHAnsi" w:eastAsia="Times New Roman" w:hAnsiTheme="majorHAnsi" w:cstheme="majorHAnsi"/>
          <w:sz w:val="24"/>
          <w:szCs w:val="24"/>
          <w:lang w:eastAsia="pl-PL"/>
        </w:rPr>
      </w:pPr>
      <w:r w:rsidRPr="00E3754C">
        <w:rPr>
          <w:rFonts w:asciiTheme="majorHAnsi" w:eastAsia="Times New Roman" w:hAnsiTheme="majorHAnsi" w:cstheme="majorHAnsi"/>
          <w:sz w:val="24"/>
          <w:szCs w:val="24"/>
          <w:lang w:eastAsia="pl-PL"/>
        </w:rPr>
        <w:t>To papier wartościowy emitowany przez spółkę, którego posiadanie równoznaczne jest z nabyciem ułamkowej części praw majątkowych kapitału akcyjnego, jak i praw niemajątkowych przypisanych akcjonariuszom (posiadaczom akcji). Akcje są dla emitującego je przedsiębiorstwa źródłem pozyskania kapitału, podczas gdy dla akcjonariuszy stanowią one narzędzie inwestycyjne. Ze względu na cechy akcji wyróżnia się np.: akcje zwykłe i uprzywilejowane, imienne i na okaziciela, aportowe i gotówkowe.</w:t>
      </w:r>
    </w:p>
    <w:p w14:paraId="41178185" w14:textId="77777777" w:rsidR="00865130" w:rsidRPr="00493A7F" w:rsidRDefault="00865130" w:rsidP="00865130">
      <w:pPr>
        <w:spacing w:before="100" w:beforeAutospacing="1" w:after="100" w:afterAutospacing="1" w:line="308" w:lineRule="atLeast"/>
        <w:jc w:val="both"/>
        <w:outlineLvl w:val="2"/>
        <w:rPr>
          <w:rFonts w:asciiTheme="majorHAnsi" w:eastAsia="Times New Roman" w:hAnsiTheme="majorHAnsi" w:cstheme="majorHAnsi"/>
          <w:b/>
          <w:bCs/>
          <w:sz w:val="24"/>
          <w:szCs w:val="24"/>
          <w:lang w:eastAsia="pl-PL"/>
        </w:rPr>
      </w:pPr>
      <w:r w:rsidRPr="00493A7F">
        <w:rPr>
          <w:rFonts w:asciiTheme="majorHAnsi" w:eastAsia="Times New Roman" w:hAnsiTheme="majorHAnsi" w:cstheme="majorHAnsi"/>
          <w:b/>
          <w:bCs/>
          <w:sz w:val="24"/>
          <w:szCs w:val="24"/>
          <w:lang w:eastAsia="pl-PL"/>
        </w:rPr>
        <w:t>AML (</w:t>
      </w:r>
      <w:proofErr w:type="spellStart"/>
      <w:r w:rsidRPr="00493A7F">
        <w:rPr>
          <w:rFonts w:asciiTheme="majorHAnsi" w:eastAsia="Times New Roman" w:hAnsiTheme="majorHAnsi" w:cstheme="majorHAnsi"/>
          <w:b/>
          <w:bCs/>
          <w:sz w:val="24"/>
          <w:szCs w:val="24"/>
          <w:lang w:eastAsia="pl-PL"/>
        </w:rPr>
        <w:t>Anti</w:t>
      </w:r>
      <w:proofErr w:type="spellEnd"/>
      <w:r w:rsidRPr="00493A7F">
        <w:rPr>
          <w:rFonts w:asciiTheme="majorHAnsi" w:eastAsia="Times New Roman" w:hAnsiTheme="majorHAnsi" w:cstheme="majorHAnsi"/>
          <w:b/>
          <w:bCs/>
          <w:sz w:val="24"/>
          <w:szCs w:val="24"/>
          <w:lang w:eastAsia="pl-PL"/>
        </w:rPr>
        <w:t xml:space="preserve">-Money </w:t>
      </w:r>
      <w:proofErr w:type="spellStart"/>
      <w:r w:rsidRPr="00493A7F">
        <w:rPr>
          <w:rFonts w:asciiTheme="majorHAnsi" w:eastAsia="Times New Roman" w:hAnsiTheme="majorHAnsi" w:cstheme="majorHAnsi"/>
          <w:b/>
          <w:bCs/>
          <w:sz w:val="24"/>
          <w:szCs w:val="24"/>
          <w:lang w:eastAsia="pl-PL"/>
        </w:rPr>
        <w:t>Laundering</w:t>
      </w:r>
      <w:proofErr w:type="spellEnd"/>
      <w:r w:rsidRPr="00493A7F">
        <w:rPr>
          <w:rFonts w:asciiTheme="majorHAnsi" w:eastAsia="Times New Roman" w:hAnsiTheme="majorHAnsi" w:cstheme="majorHAnsi"/>
          <w:b/>
          <w:bCs/>
          <w:sz w:val="24"/>
          <w:szCs w:val="24"/>
          <w:lang w:eastAsia="pl-PL"/>
        </w:rPr>
        <w:t>)</w:t>
      </w:r>
    </w:p>
    <w:p w14:paraId="3DD0A634" w14:textId="77777777" w:rsidR="00865130" w:rsidRPr="00493A7F" w:rsidRDefault="00865130" w:rsidP="00865130">
      <w:pPr>
        <w:spacing w:after="240" w:line="343" w:lineRule="atLeast"/>
        <w:ind w:left="708"/>
        <w:jc w:val="both"/>
        <w:rPr>
          <w:rFonts w:asciiTheme="majorHAnsi" w:eastAsia="Times New Roman" w:hAnsiTheme="majorHAnsi" w:cstheme="majorHAnsi"/>
          <w:sz w:val="24"/>
          <w:szCs w:val="24"/>
          <w:lang w:eastAsia="pl-PL"/>
        </w:rPr>
      </w:pPr>
      <w:r w:rsidRPr="00493A7F">
        <w:rPr>
          <w:rFonts w:asciiTheme="majorHAnsi" w:eastAsia="Times New Roman" w:hAnsiTheme="majorHAnsi" w:cstheme="majorHAnsi"/>
          <w:sz w:val="24"/>
          <w:szCs w:val="24"/>
          <w:lang w:eastAsia="pl-PL"/>
        </w:rPr>
        <w:t>AML to skrót od frazy </w:t>
      </w:r>
      <w:proofErr w:type="spellStart"/>
      <w:r w:rsidRPr="00493A7F">
        <w:rPr>
          <w:rFonts w:asciiTheme="majorHAnsi" w:eastAsia="Times New Roman" w:hAnsiTheme="majorHAnsi" w:cstheme="majorHAnsi"/>
          <w:i/>
          <w:iCs/>
          <w:sz w:val="24"/>
          <w:szCs w:val="24"/>
          <w:lang w:eastAsia="pl-PL"/>
        </w:rPr>
        <w:t>Anti</w:t>
      </w:r>
      <w:proofErr w:type="spellEnd"/>
      <w:r w:rsidRPr="00493A7F">
        <w:rPr>
          <w:rFonts w:asciiTheme="majorHAnsi" w:eastAsia="Times New Roman" w:hAnsiTheme="majorHAnsi" w:cstheme="majorHAnsi"/>
          <w:i/>
          <w:iCs/>
          <w:sz w:val="24"/>
          <w:szCs w:val="24"/>
          <w:lang w:eastAsia="pl-PL"/>
        </w:rPr>
        <w:t xml:space="preserve">-Money </w:t>
      </w:r>
      <w:proofErr w:type="spellStart"/>
      <w:r w:rsidRPr="00493A7F">
        <w:rPr>
          <w:rFonts w:asciiTheme="majorHAnsi" w:eastAsia="Times New Roman" w:hAnsiTheme="majorHAnsi" w:cstheme="majorHAnsi"/>
          <w:i/>
          <w:iCs/>
          <w:sz w:val="24"/>
          <w:szCs w:val="24"/>
          <w:lang w:eastAsia="pl-PL"/>
        </w:rPr>
        <w:t>Laundering</w:t>
      </w:r>
      <w:proofErr w:type="spellEnd"/>
      <w:r w:rsidRPr="00493A7F">
        <w:rPr>
          <w:rFonts w:asciiTheme="majorHAnsi" w:eastAsia="Times New Roman" w:hAnsiTheme="majorHAnsi" w:cstheme="majorHAnsi"/>
          <w:sz w:val="24"/>
          <w:szCs w:val="24"/>
          <w:lang w:eastAsia="pl-PL"/>
        </w:rPr>
        <w:t>, która dotyczy wszystkich działań podejmowanych przez organizacje świadczące usługi finansowe (głównie przez banki), mających na celu wyeliminowanie zjawiska prania brudnych pieniędzy.</w:t>
      </w:r>
    </w:p>
    <w:p w14:paraId="0884FF65" w14:textId="77777777" w:rsidR="00865130" w:rsidRPr="00E3754C" w:rsidRDefault="00865130" w:rsidP="00865130">
      <w:pPr>
        <w:spacing w:after="240" w:line="343" w:lineRule="atLeast"/>
        <w:ind w:left="708"/>
        <w:jc w:val="both"/>
        <w:rPr>
          <w:rFonts w:asciiTheme="majorHAnsi" w:eastAsia="Times New Roman" w:hAnsiTheme="majorHAnsi" w:cstheme="majorHAnsi"/>
          <w:sz w:val="24"/>
          <w:szCs w:val="24"/>
          <w:lang w:eastAsia="pl-PL"/>
        </w:rPr>
      </w:pPr>
      <w:r w:rsidRPr="00493A7F">
        <w:rPr>
          <w:rFonts w:asciiTheme="majorHAnsi" w:eastAsia="Times New Roman" w:hAnsiTheme="majorHAnsi" w:cstheme="majorHAnsi"/>
          <w:sz w:val="24"/>
          <w:szCs w:val="24"/>
          <w:lang w:eastAsia="pl-PL"/>
        </w:rPr>
        <w:t>AML (</w:t>
      </w:r>
      <w:proofErr w:type="spellStart"/>
      <w:r w:rsidRPr="00493A7F">
        <w:rPr>
          <w:rFonts w:asciiTheme="majorHAnsi" w:eastAsia="Times New Roman" w:hAnsiTheme="majorHAnsi" w:cstheme="majorHAnsi"/>
          <w:sz w:val="24"/>
          <w:szCs w:val="24"/>
          <w:lang w:eastAsia="pl-PL"/>
        </w:rPr>
        <w:t>Anti</w:t>
      </w:r>
      <w:proofErr w:type="spellEnd"/>
      <w:r w:rsidRPr="00493A7F">
        <w:rPr>
          <w:rFonts w:asciiTheme="majorHAnsi" w:eastAsia="Times New Roman" w:hAnsiTheme="majorHAnsi" w:cstheme="majorHAnsi"/>
          <w:sz w:val="24"/>
          <w:szCs w:val="24"/>
          <w:lang w:eastAsia="pl-PL"/>
        </w:rPr>
        <w:t xml:space="preserve">-Money </w:t>
      </w:r>
      <w:proofErr w:type="spellStart"/>
      <w:r w:rsidRPr="00493A7F">
        <w:rPr>
          <w:rFonts w:asciiTheme="majorHAnsi" w:eastAsia="Times New Roman" w:hAnsiTheme="majorHAnsi" w:cstheme="majorHAnsi"/>
          <w:sz w:val="24"/>
          <w:szCs w:val="24"/>
          <w:lang w:eastAsia="pl-PL"/>
        </w:rPr>
        <w:t>Laundering</w:t>
      </w:r>
      <w:proofErr w:type="spellEnd"/>
      <w:r w:rsidRPr="00493A7F">
        <w:rPr>
          <w:rFonts w:asciiTheme="majorHAnsi" w:eastAsia="Times New Roman" w:hAnsiTheme="majorHAnsi" w:cstheme="majorHAnsi"/>
          <w:sz w:val="24"/>
          <w:szCs w:val="24"/>
          <w:lang w:eastAsia="pl-PL"/>
        </w:rPr>
        <w:t>) może też oznaczać wydzieloną część korporacji, np. Dział Przeciwdziałania Praniu Brudnych Pieniędzy, w którym przeprowadzane są procesy mające na celu zniwelowanie takich procederów przestępczych. </w:t>
      </w:r>
    </w:p>
    <w:p w14:paraId="71468BBF" w14:textId="77777777" w:rsidR="00865130" w:rsidRPr="00E3754C" w:rsidRDefault="00865130" w:rsidP="00865130">
      <w:pPr>
        <w:spacing w:after="240" w:line="343" w:lineRule="atLeast"/>
        <w:jc w:val="both"/>
        <w:rPr>
          <w:rFonts w:asciiTheme="majorHAnsi" w:eastAsia="Times New Roman" w:hAnsiTheme="majorHAnsi" w:cstheme="majorHAnsi"/>
          <w:b/>
          <w:bCs/>
          <w:sz w:val="24"/>
          <w:szCs w:val="24"/>
          <w:lang w:eastAsia="pl-PL"/>
        </w:rPr>
      </w:pPr>
      <w:r w:rsidRPr="00E3754C">
        <w:rPr>
          <w:rFonts w:asciiTheme="majorHAnsi" w:eastAsia="Times New Roman" w:hAnsiTheme="majorHAnsi" w:cstheme="majorHAnsi"/>
          <w:b/>
          <w:bCs/>
          <w:sz w:val="24"/>
          <w:szCs w:val="24"/>
          <w:lang w:eastAsia="pl-PL"/>
        </w:rPr>
        <w:t>Bank Depozytariusz</w:t>
      </w:r>
    </w:p>
    <w:p w14:paraId="3A6C1839" w14:textId="77777777" w:rsidR="00865130" w:rsidRPr="00E3754C" w:rsidRDefault="00865130" w:rsidP="00865130">
      <w:pPr>
        <w:spacing w:after="240" w:line="343" w:lineRule="atLeast"/>
        <w:ind w:left="708"/>
        <w:jc w:val="both"/>
        <w:rPr>
          <w:rFonts w:asciiTheme="majorHAnsi" w:eastAsia="Times New Roman" w:hAnsiTheme="majorHAnsi" w:cstheme="majorHAnsi"/>
          <w:sz w:val="24"/>
          <w:szCs w:val="24"/>
          <w:lang w:eastAsia="pl-PL"/>
        </w:rPr>
      </w:pPr>
      <w:r w:rsidRPr="00E3754C">
        <w:rPr>
          <w:rFonts w:asciiTheme="majorHAnsi" w:eastAsia="Times New Roman" w:hAnsiTheme="majorHAnsi" w:cstheme="majorHAnsi"/>
          <w:sz w:val="24"/>
          <w:szCs w:val="24"/>
          <w:lang w:eastAsia="pl-PL"/>
        </w:rPr>
        <w:t xml:space="preserve">Depozytariusz jest to podmiot prowadzący rejestr aktywów funduszu inwestycyjnego. Depozytariusz jest uprawniony do kontrolowania, czy zarządzanie aktywami funduszu, w szczególności przestrzeganie limitów zaangażowania i obciążenia funduszu kosztami, jak również wycena aktywów netto funduszu odbywają się zgodnie z prawem oraz statutem funduszu. Funkcję depozytariusza może pełnić bank krajowy lub zagraniczna instytucja kredytowa. Działalność depozytariuszy nadzoruje Komisja Nadzoru Finansowego. </w:t>
      </w:r>
    </w:p>
    <w:p w14:paraId="5FEA03AB" w14:textId="77777777" w:rsidR="00865130" w:rsidRPr="00E3754C" w:rsidRDefault="00865130" w:rsidP="00865130">
      <w:pPr>
        <w:pStyle w:val="Nagwek3"/>
        <w:shd w:val="clear" w:color="auto" w:fill="FFFFFF"/>
        <w:spacing w:before="0" w:beforeAutospacing="0" w:after="0" w:afterAutospacing="0"/>
        <w:jc w:val="both"/>
        <w:textAlignment w:val="baseline"/>
        <w:rPr>
          <w:rFonts w:asciiTheme="majorHAnsi" w:hAnsiTheme="majorHAnsi" w:cstheme="majorHAnsi"/>
          <w:sz w:val="24"/>
          <w:szCs w:val="24"/>
        </w:rPr>
      </w:pPr>
      <w:hyperlink r:id="rId5" w:history="1">
        <w:r w:rsidRPr="00E3754C">
          <w:rPr>
            <w:rFonts w:asciiTheme="majorHAnsi" w:hAnsiTheme="majorHAnsi" w:cstheme="majorHAnsi"/>
            <w:sz w:val="24"/>
            <w:szCs w:val="24"/>
          </w:rPr>
          <w:t>Beneficjent</w:t>
        </w:r>
      </w:hyperlink>
    </w:p>
    <w:p w14:paraId="2F9BA378" w14:textId="77777777" w:rsidR="00865130" w:rsidRPr="00E3754C" w:rsidRDefault="00865130" w:rsidP="00865130">
      <w:pPr>
        <w:pStyle w:val="Nagwek3"/>
        <w:shd w:val="clear" w:color="auto" w:fill="FFFFFF"/>
        <w:spacing w:before="0" w:beforeAutospacing="0" w:after="0" w:afterAutospacing="0"/>
        <w:jc w:val="both"/>
        <w:textAlignment w:val="baseline"/>
        <w:rPr>
          <w:rFonts w:asciiTheme="majorHAnsi" w:hAnsiTheme="majorHAnsi" w:cstheme="majorHAnsi"/>
          <w:sz w:val="24"/>
          <w:szCs w:val="24"/>
        </w:rPr>
      </w:pPr>
    </w:p>
    <w:p w14:paraId="00DAFF1A" w14:textId="77777777" w:rsidR="00865130" w:rsidRPr="00E3754C" w:rsidRDefault="00865130" w:rsidP="00865130">
      <w:pPr>
        <w:pStyle w:val="NormalnyWeb"/>
        <w:shd w:val="clear" w:color="auto" w:fill="FFFFFF"/>
        <w:spacing w:before="0" w:beforeAutospacing="0" w:after="0" w:afterAutospacing="0"/>
        <w:ind w:left="708"/>
        <w:jc w:val="both"/>
        <w:textAlignment w:val="baseline"/>
        <w:rPr>
          <w:rFonts w:asciiTheme="majorHAnsi" w:hAnsiTheme="majorHAnsi" w:cstheme="majorHAnsi"/>
        </w:rPr>
      </w:pPr>
      <w:r w:rsidRPr="00E3754C">
        <w:rPr>
          <w:rFonts w:asciiTheme="majorHAnsi" w:hAnsiTheme="majorHAnsi" w:cstheme="majorHAnsi"/>
        </w:rPr>
        <w:t>To osoba fizyczna lub prawna korzystająca z przyznanej jej przywilejów lub świadczeń. Beneficjentem jest więc osoba, której udzielono np. kredytu hipotecznego lub na rzecz której dokonano przelewu środków.</w:t>
      </w:r>
    </w:p>
    <w:p w14:paraId="6C792704" w14:textId="77777777" w:rsidR="00865130" w:rsidRPr="00E3754C" w:rsidRDefault="00865130" w:rsidP="00865130">
      <w:pPr>
        <w:spacing w:after="240" w:line="343" w:lineRule="atLeast"/>
        <w:jc w:val="both"/>
        <w:rPr>
          <w:rFonts w:asciiTheme="majorHAnsi" w:eastAsia="Times New Roman" w:hAnsiTheme="majorHAnsi" w:cstheme="majorHAnsi"/>
          <w:b/>
          <w:bCs/>
          <w:sz w:val="24"/>
          <w:szCs w:val="24"/>
          <w:lang w:eastAsia="pl-PL"/>
        </w:rPr>
      </w:pPr>
    </w:p>
    <w:p w14:paraId="7EDAA27C" w14:textId="77777777" w:rsidR="00865130" w:rsidRPr="00E3754C" w:rsidRDefault="00865130" w:rsidP="00865130">
      <w:pPr>
        <w:spacing w:after="240" w:line="343" w:lineRule="atLeast"/>
        <w:jc w:val="both"/>
        <w:rPr>
          <w:rFonts w:asciiTheme="majorHAnsi" w:eastAsia="Times New Roman" w:hAnsiTheme="majorHAnsi" w:cstheme="majorHAnsi"/>
          <w:b/>
          <w:bCs/>
          <w:sz w:val="24"/>
          <w:szCs w:val="24"/>
          <w:lang w:eastAsia="pl-PL"/>
        </w:rPr>
      </w:pPr>
      <w:r w:rsidRPr="00E3754C">
        <w:rPr>
          <w:rFonts w:asciiTheme="majorHAnsi" w:eastAsia="Times New Roman" w:hAnsiTheme="majorHAnsi" w:cstheme="majorHAnsi"/>
          <w:b/>
          <w:bCs/>
          <w:sz w:val="24"/>
          <w:szCs w:val="24"/>
          <w:lang w:eastAsia="pl-PL"/>
        </w:rPr>
        <w:t>Benchmark</w:t>
      </w:r>
    </w:p>
    <w:p w14:paraId="2498794B" w14:textId="77777777" w:rsidR="00865130" w:rsidRPr="00E3754C" w:rsidRDefault="00865130" w:rsidP="00865130">
      <w:pPr>
        <w:spacing w:after="240" w:line="343" w:lineRule="atLeast"/>
        <w:ind w:left="708"/>
        <w:jc w:val="both"/>
        <w:rPr>
          <w:rFonts w:asciiTheme="majorHAnsi" w:eastAsia="Times New Roman" w:hAnsiTheme="majorHAnsi" w:cstheme="majorHAnsi"/>
          <w:sz w:val="24"/>
          <w:szCs w:val="24"/>
          <w:lang w:eastAsia="pl-PL"/>
        </w:rPr>
      </w:pPr>
      <w:r w:rsidRPr="00E3754C">
        <w:rPr>
          <w:rFonts w:asciiTheme="majorHAnsi" w:eastAsia="Times New Roman" w:hAnsiTheme="majorHAnsi" w:cstheme="majorHAnsi"/>
          <w:sz w:val="24"/>
          <w:szCs w:val="24"/>
          <w:lang w:eastAsia="pl-PL"/>
        </w:rPr>
        <w:t>Wzorzec, stopa odniesienia służąca do oceny efektywności inwestycji w jednostki uczestnictwa funduszu. Benchmarkiem może być np. indeks giełdowy (WIG, WIG20) lub średnia rentowność bonów skarbowych. W założeniach fundusz powinien osiągać wyniki nie gorsze od benchmarku, do którego się porównuje.</w:t>
      </w:r>
    </w:p>
    <w:p w14:paraId="0871EAAC" w14:textId="77777777" w:rsidR="00865130" w:rsidRDefault="00865130" w:rsidP="00865130">
      <w:pPr>
        <w:spacing w:after="240" w:line="343" w:lineRule="atLeast"/>
        <w:jc w:val="both"/>
        <w:rPr>
          <w:rFonts w:asciiTheme="majorHAnsi" w:eastAsia="Times New Roman" w:hAnsiTheme="majorHAnsi" w:cstheme="majorHAnsi"/>
          <w:b/>
          <w:bCs/>
          <w:sz w:val="24"/>
          <w:szCs w:val="24"/>
          <w:lang w:eastAsia="pl-PL"/>
        </w:rPr>
      </w:pPr>
    </w:p>
    <w:p w14:paraId="15447359" w14:textId="77777777" w:rsidR="00865130" w:rsidRPr="00E3754C" w:rsidRDefault="00865130" w:rsidP="00865130">
      <w:pPr>
        <w:spacing w:after="240" w:line="343" w:lineRule="atLeast"/>
        <w:jc w:val="both"/>
        <w:rPr>
          <w:rFonts w:asciiTheme="majorHAnsi" w:eastAsia="Times New Roman" w:hAnsiTheme="majorHAnsi" w:cstheme="majorHAnsi"/>
          <w:b/>
          <w:bCs/>
          <w:sz w:val="24"/>
          <w:szCs w:val="24"/>
          <w:lang w:eastAsia="pl-PL"/>
        </w:rPr>
      </w:pPr>
      <w:r w:rsidRPr="00E3754C">
        <w:rPr>
          <w:rFonts w:asciiTheme="majorHAnsi" w:eastAsia="Times New Roman" w:hAnsiTheme="majorHAnsi" w:cstheme="majorHAnsi"/>
          <w:b/>
          <w:bCs/>
          <w:sz w:val="24"/>
          <w:szCs w:val="24"/>
          <w:lang w:eastAsia="pl-PL"/>
        </w:rPr>
        <w:lastRenderedPageBreak/>
        <w:t>Bessa</w:t>
      </w:r>
    </w:p>
    <w:p w14:paraId="7E09CCE8" w14:textId="77777777" w:rsidR="00865130" w:rsidRPr="00E3754C" w:rsidRDefault="00865130" w:rsidP="00865130">
      <w:pPr>
        <w:spacing w:after="240" w:line="343" w:lineRule="atLeast"/>
        <w:ind w:left="708"/>
        <w:jc w:val="both"/>
        <w:rPr>
          <w:rFonts w:asciiTheme="majorHAnsi" w:eastAsia="Times New Roman" w:hAnsiTheme="majorHAnsi" w:cstheme="majorHAnsi"/>
          <w:sz w:val="24"/>
          <w:szCs w:val="24"/>
          <w:lang w:eastAsia="pl-PL"/>
        </w:rPr>
      </w:pPr>
      <w:r w:rsidRPr="00E3754C">
        <w:rPr>
          <w:rFonts w:asciiTheme="majorHAnsi" w:eastAsia="Times New Roman" w:hAnsiTheme="majorHAnsi" w:cstheme="majorHAnsi"/>
          <w:sz w:val="24"/>
          <w:szCs w:val="24"/>
          <w:lang w:eastAsia="pl-PL"/>
        </w:rPr>
        <w:t>Przeciwieństwo hossy, czyli rynek niedźwiedzia, hasło będące na giełdzie odzwierciedleniem długotrwałego okresu obfitującego w spadki kursów giełdowych.</w:t>
      </w:r>
    </w:p>
    <w:p w14:paraId="5906ED98" w14:textId="77777777" w:rsidR="00865130" w:rsidRPr="00E3754C" w:rsidRDefault="00865130" w:rsidP="00865130">
      <w:pPr>
        <w:spacing w:after="240" w:line="343" w:lineRule="atLeast"/>
        <w:jc w:val="both"/>
        <w:rPr>
          <w:rFonts w:asciiTheme="majorHAnsi" w:eastAsia="Times New Roman" w:hAnsiTheme="majorHAnsi" w:cstheme="majorHAnsi"/>
          <w:b/>
          <w:bCs/>
          <w:sz w:val="24"/>
          <w:szCs w:val="24"/>
          <w:lang w:eastAsia="pl-PL"/>
        </w:rPr>
      </w:pPr>
      <w:r w:rsidRPr="00E3754C">
        <w:rPr>
          <w:rFonts w:asciiTheme="majorHAnsi" w:eastAsia="Times New Roman" w:hAnsiTheme="majorHAnsi" w:cstheme="majorHAnsi"/>
          <w:b/>
          <w:bCs/>
          <w:sz w:val="24"/>
          <w:szCs w:val="24"/>
          <w:lang w:eastAsia="pl-PL"/>
        </w:rPr>
        <w:t>Cel Inwestycyjny</w:t>
      </w:r>
    </w:p>
    <w:p w14:paraId="79D5D03C" w14:textId="77777777" w:rsidR="00865130" w:rsidRPr="00E3754C" w:rsidRDefault="00865130" w:rsidP="00865130">
      <w:pPr>
        <w:pStyle w:val="Nagwek3"/>
        <w:spacing w:line="308" w:lineRule="atLeast"/>
        <w:ind w:left="708"/>
        <w:jc w:val="both"/>
        <w:rPr>
          <w:rFonts w:asciiTheme="majorHAnsi" w:hAnsiTheme="majorHAnsi" w:cstheme="majorHAnsi"/>
          <w:b w:val="0"/>
          <w:bCs w:val="0"/>
          <w:sz w:val="24"/>
          <w:szCs w:val="24"/>
        </w:rPr>
      </w:pPr>
      <w:r w:rsidRPr="00E3754C">
        <w:rPr>
          <w:rFonts w:asciiTheme="majorHAnsi" w:hAnsiTheme="majorHAnsi" w:cstheme="majorHAnsi"/>
          <w:b w:val="0"/>
          <w:bCs w:val="0"/>
          <w:sz w:val="24"/>
          <w:szCs w:val="24"/>
        </w:rPr>
        <w:t xml:space="preserve">Kluczowa kwestia do zdefiniowania przez każdego inwestora. Celem może być np. powiększenie kapitału, otrzymywanie regularnej renty, ochrona majątku, czy zabezpieczenie finansowe bliskich. Determinuje to dobór metody, horyzontu czasowego, polityki inwestycyjnej, za pomocą której realizowany jest cel, a więc konkretnego funduszu lub programu inwestycyjnego. </w:t>
      </w:r>
    </w:p>
    <w:p w14:paraId="1AA27CD8" w14:textId="77777777" w:rsidR="00865130" w:rsidRPr="00E3754C" w:rsidRDefault="00865130" w:rsidP="00865130">
      <w:pPr>
        <w:pStyle w:val="Nagwek3"/>
        <w:spacing w:line="308" w:lineRule="atLeast"/>
        <w:jc w:val="both"/>
        <w:rPr>
          <w:rFonts w:asciiTheme="majorHAnsi" w:hAnsiTheme="majorHAnsi" w:cstheme="majorHAnsi"/>
          <w:sz w:val="24"/>
          <w:szCs w:val="24"/>
        </w:rPr>
      </w:pPr>
      <w:r w:rsidRPr="00E3754C">
        <w:rPr>
          <w:rFonts w:asciiTheme="majorHAnsi" w:hAnsiTheme="majorHAnsi" w:cstheme="majorHAnsi"/>
          <w:sz w:val="24"/>
          <w:szCs w:val="24"/>
        </w:rPr>
        <w:t>Doradca Inwestycyjny</w:t>
      </w:r>
    </w:p>
    <w:p w14:paraId="669C256F" w14:textId="77777777" w:rsidR="00865130" w:rsidRPr="00E3754C" w:rsidRDefault="00865130" w:rsidP="00865130">
      <w:pPr>
        <w:pStyle w:val="Nagwek3"/>
        <w:spacing w:line="308" w:lineRule="atLeast"/>
        <w:ind w:left="708"/>
        <w:jc w:val="both"/>
        <w:rPr>
          <w:rFonts w:asciiTheme="majorHAnsi" w:hAnsiTheme="majorHAnsi" w:cstheme="majorHAnsi"/>
          <w:b w:val="0"/>
          <w:bCs w:val="0"/>
          <w:sz w:val="24"/>
          <w:szCs w:val="24"/>
        </w:rPr>
      </w:pPr>
      <w:r w:rsidRPr="00E3754C">
        <w:rPr>
          <w:rFonts w:asciiTheme="majorHAnsi" w:hAnsiTheme="majorHAnsi" w:cstheme="majorHAnsi"/>
          <w:b w:val="0"/>
          <w:bCs w:val="0"/>
          <w:sz w:val="24"/>
          <w:szCs w:val="24"/>
        </w:rPr>
        <w:t>Tytuł Doradcy Inwestycyjnego jest polskim standardem świadczącym o wysokim poziomie kwalifikacji zawodowych z zakresu zarządzania inwestycjami. Tytuł uzyskuje się po zdaniu egzaminu przed Komisją Nadzoru Finansowego i wpisaniu na listę Doradców Inwestycyjnych. Towarzystwa Funduszy Inwestycyjnych, a także inne instytucje finansowe mają obowiązek zatrudniania Doradców Inwestycyjnych.</w:t>
      </w:r>
    </w:p>
    <w:p w14:paraId="0F5511A8" w14:textId="77777777" w:rsidR="00865130" w:rsidRPr="00E3754C" w:rsidRDefault="00865130" w:rsidP="00865130">
      <w:pPr>
        <w:pStyle w:val="Nagwek3"/>
        <w:spacing w:line="308" w:lineRule="atLeast"/>
        <w:jc w:val="both"/>
        <w:rPr>
          <w:rFonts w:asciiTheme="majorHAnsi" w:hAnsiTheme="majorHAnsi" w:cstheme="majorHAnsi"/>
          <w:sz w:val="24"/>
          <w:szCs w:val="24"/>
        </w:rPr>
      </w:pPr>
      <w:r w:rsidRPr="00E3754C">
        <w:rPr>
          <w:rFonts w:asciiTheme="majorHAnsi" w:hAnsiTheme="majorHAnsi" w:cstheme="majorHAnsi"/>
          <w:sz w:val="24"/>
          <w:szCs w:val="24"/>
        </w:rPr>
        <w:t>Dywidenda</w:t>
      </w:r>
    </w:p>
    <w:p w14:paraId="4D9316F3" w14:textId="77777777" w:rsidR="00865130" w:rsidRPr="00E3754C" w:rsidRDefault="00865130" w:rsidP="00865130">
      <w:pPr>
        <w:pStyle w:val="NormalnyWeb"/>
        <w:spacing w:before="0" w:beforeAutospacing="0" w:after="240" w:afterAutospacing="0" w:line="343" w:lineRule="atLeast"/>
        <w:ind w:left="708"/>
        <w:jc w:val="both"/>
        <w:rPr>
          <w:rFonts w:asciiTheme="majorHAnsi" w:hAnsiTheme="majorHAnsi" w:cstheme="majorHAnsi"/>
        </w:rPr>
      </w:pPr>
      <w:r w:rsidRPr="00E3754C">
        <w:rPr>
          <w:rFonts w:asciiTheme="majorHAnsi" w:hAnsiTheme="majorHAnsi" w:cstheme="majorHAnsi"/>
        </w:rPr>
        <w:t>Dywidenda to zysk netto wypracowany przez spółkę, który wypłacany jest na rzecz jej wspólników lub osób posiadających jej akcje. Otrzymują ją proporcjonalnie wszyscy akcjonariusze lub wspólnicy, którzy posiadają akcje lub udziały spółki w dniu, w którym ustalono prawo do jej wypłaty.</w:t>
      </w:r>
    </w:p>
    <w:p w14:paraId="1EE4359B" w14:textId="77777777" w:rsidR="00865130" w:rsidRPr="00E3754C" w:rsidRDefault="00865130" w:rsidP="00865130">
      <w:pPr>
        <w:pStyle w:val="Nagwek3"/>
        <w:spacing w:line="308" w:lineRule="atLeast"/>
        <w:jc w:val="both"/>
        <w:rPr>
          <w:rFonts w:asciiTheme="majorHAnsi" w:hAnsiTheme="majorHAnsi" w:cstheme="majorHAnsi"/>
          <w:sz w:val="24"/>
          <w:szCs w:val="24"/>
        </w:rPr>
      </w:pPr>
      <w:r w:rsidRPr="00E3754C">
        <w:rPr>
          <w:rFonts w:asciiTheme="majorHAnsi" w:hAnsiTheme="majorHAnsi" w:cstheme="majorHAnsi"/>
          <w:sz w:val="24"/>
          <w:szCs w:val="24"/>
        </w:rPr>
        <w:t>Dywersyfikacja</w:t>
      </w:r>
    </w:p>
    <w:p w14:paraId="33E9402B" w14:textId="77777777" w:rsidR="00865130" w:rsidRPr="00E3754C" w:rsidRDefault="00865130" w:rsidP="00865130">
      <w:pPr>
        <w:pStyle w:val="NormalnyWeb"/>
        <w:spacing w:before="0" w:beforeAutospacing="0" w:after="0" w:afterAutospacing="0" w:line="330" w:lineRule="atLeast"/>
        <w:ind w:left="708"/>
        <w:jc w:val="both"/>
        <w:rPr>
          <w:rFonts w:asciiTheme="majorHAnsi" w:hAnsiTheme="majorHAnsi" w:cstheme="majorHAnsi"/>
          <w:color w:val="26272C"/>
        </w:rPr>
      </w:pPr>
      <w:r w:rsidRPr="00E3754C">
        <w:rPr>
          <w:rFonts w:asciiTheme="majorHAnsi" w:hAnsiTheme="majorHAnsi" w:cstheme="majorHAnsi"/>
          <w:color w:val="26272C"/>
        </w:rPr>
        <w:t>Inwestowanie w różnego rodzaju instrumenty finansowe, których cena nie jest wzajemnie zależna (np. skonstruowanie portfela składającego się z funduszy akcji, obligacji i złota). Celem dywersyfikacji jest ograniczenie ryzyka inwestycyjnego.</w:t>
      </w:r>
    </w:p>
    <w:p w14:paraId="164F88B1" w14:textId="77777777" w:rsidR="00865130" w:rsidRPr="00E3754C" w:rsidRDefault="00865130" w:rsidP="00865130">
      <w:pPr>
        <w:pStyle w:val="NormalnyWeb"/>
        <w:spacing w:before="0" w:beforeAutospacing="0" w:after="240" w:afterAutospacing="0" w:line="343" w:lineRule="atLeast"/>
        <w:jc w:val="both"/>
        <w:rPr>
          <w:rFonts w:asciiTheme="majorHAnsi" w:hAnsiTheme="majorHAnsi" w:cstheme="majorHAnsi"/>
        </w:rPr>
      </w:pPr>
    </w:p>
    <w:p w14:paraId="043BA454" w14:textId="77777777" w:rsidR="00865130" w:rsidRDefault="00865130" w:rsidP="00865130">
      <w:pPr>
        <w:pStyle w:val="Nagwek3"/>
        <w:shd w:val="clear" w:color="auto" w:fill="FFFFFF"/>
        <w:spacing w:before="0" w:beforeAutospacing="0" w:after="0" w:afterAutospacing="0"/>
        <w:jc w:val="both"/>
        <w:textAlignment w:val="baseline"/>
        <w:rPr>
          <w:rFonts w:asciiTheme="majorHAnsi" w:hAnsiTheme="majorHAnsi" w:cstheme="majorHAnsi"/>
          <w:sz w:val="24"/>
          <w:szCs w:val="24"/>
        </w:rPr>
      </w:pPr>
      <w:hyperlink r:id="rId6" w:history="1">
        <w:r w:rsidRPr="00E3754C">
          <w:rPr>
            <w:rFonts w:asciiTheme="majorHAnsi" w:hAnsiTheme="majorHAnsi" w:cstheme="majorHAnsi"/>
            <w:sz w:val="24"/>
            <w:szCs w:val="24"/>
          </w:rPr>
          <w:t>Dyskontowanie</w:t>
        </w:r>
      </w:hyperlink>
    </w:p>
    <w:p w14:paraId="7F1BDC90" w14:textId="77777777" w:rsidR="00865130" w:rsidRPr="00E3754C" w:rsidRDefault="00865130" w:rsidP="00865130">
      <w:pPr>
        <w:pStyle w:val="Nagwek3"/>
        <w:shd w:val="clear" w:color="auto" w:fill="FFFFFF"/>
        <w:spacing w:before="0" w:beforeAutospacing="0" w:after="0" w:afterAutospacing="0"/>
        <w:jc w:val="both"/>
        <w:textAlignment w:val="baseline"/>
        <w:rPr>
          <w:rFonts w:asciiTheme="majorHAnsi" w:hAnsiTheme="majorHAnsi" w:cstheme="majorHAnsi"/>
          <w:sz w:val="24"/>
          <w:szCs w:val="24"/>
        </w:rPr>
      </w:pPr>
    </w:p>
    <w:p w14:paraId="6AE98D66" w14:textId="77777777" w:rsidR="00865130" w:rsidRPr="00E3754C" w:rsidRDefault="00865130" w:rsidP="00865130">
      <w:pPr>
        <w:pStyle w:val="NormalnyWeb"/>
        <w:shd w:val="clear" w:color="auto" w:fill="FFFFFF"/>
        <w:spacing w:before="0" w:beforeAutospacing="0" w:after="0" w:afterAutospacing="0"/>
        <w:ind w:left="708"/>
        <w:jc w:val="both"/>
        <w:textAlignment w:val="baseline"/>
        <w:rPr>
          <w:rFonts w:asciiTheme="majorHAnsi" w:hAnsiTheme="majorHAnsi" w:cstheme="majorHAnsi"/>
        </w:rPr>
      </w:pPr>
      <w:r w:rsidRPr="00E3754C">
        <w:rPr>
          <w:rFonts w:asciiTheme="majorHAnsi" w:hAnsiTheme="majorHAnsi" w:cstheme="majorHAnsi"/>
        </w:rPr>
        <w:t>Odwrotność kapitalizacji, czyli ustalenie aktualnej wartości danego środka na podstawie jego wartości w przyszłości - technika obliczeniowa wykorzystywana w przypadku ustalania ceny papierów wartościowych podczas ich zbycia przed terminem zapadalności – narzędzie prognostyczne pozwalające na określenie wartości początkowej inwestycji, która w danym okresie czasu przynieść ma określone profity.</w:t>
      </w:r>
    </w:p>
    <w:p w14:paraId="1CE28375" w14:textId="77777777" w:rsidR="00865130" w:rsidRPr="00E3754C" w:rsidRDefault="00865130" w:rsidP="00865130">
      <w:pPr>
        <w:pStyle w:val="NormalnyWeb"/>
        <w:spacing w:before="0" w:beforeAutospacing="0" w:after="240" w:afterAutospacing="0" w:line="343" w:lineRule="atLeast"/>
        <w:jc w:val="both"/>
        <w:rPr>
          <w:rFonts w:asciiTheme="majorHAnsi" w:hAnsiTheme="majorHAnsi" w:cstheme="majorHAnsi"/>
        </w:rPr>
      </w:pPr>
    </w:p>
    <w:p w14:paraId="38D9EDA8" w14:textId="77777777" w:rsidR="00865130" w:rsidRPr="00E3754C" w:rsidRDefault="00865130" w:rsidP="00865130">
      <w:pPr>
        <w:pStyle w:val="Nagwek2"/>
        <w:spacing w:before="0" w:line="330" w:lineRule="atLeast"/>
        <w:ind w:right="150"/>
        <w:jc w:val="both"/>
        <w:rPr>
          <w:rFonts w:eastAsia="Times New Roman" w:cstheme="majorHAnsi"/>
          <w:b/>
          <w:bCs/>
          <w:color w:val="auto"/>
          <w:sz w:val="24"/>
          <w:szCs w:val="24"/>
          <w:lang w:eastAsia="pl-PL"/>
        </w:rPr>
      </w:pPr>
      <w:r w:rsidRPr="00E3754C">
        <w:rPr>
          <w:rFonts w:eastAsia="Times New Roman" w:cstheme="majorHAnsi"/>
          <w:b/>
          <w:bCs/>
          <w:color w:val="auto"/>
          <w:sz w:val="24"/>
          <w:szCs w:val="24"/>
          <w:lang w:eastAsia="pl-PL"/>
        </w:rPr>
        <w:lastRenderedPageBreak/>
        <w:t>Dzień wyceny</w:t>
      </w:r>
    </w:p>
    <w:p w14:paraId="1B7F0AD1" w14:textId="77777777" w:rsidR="00865130" w:rsidRDefault="00865130" w:rsidP="00865130">
      <w:pPr>
        <w:pStyle w:val="NormalnyWeb"/>
        <w:spacing w:before="0" w:beforeAutospacing="0" w:after="0" w:afterAutospacing="0" w:line="330" w:lineRule="atLeast"/>
        <w:jc w:val="both"/>
        <w:rPr>
          <w:rFonts w:asciiTheme="majorHAnsi" w:hAnsiTheme="majorHAnsi" w:cstheme="majorHAnsi"/>
          <w:color w:val="26272C"/>
        </w:rPr>
      </w:pPr>
    </w:p>
    <w:p w14:paraId="73CEC405" w14:textId="77777777" w:rsidR="00865130" w:rsidRPr="00E3754C" w:rsidRDefault="00865130" w:rsidP="00865130">
      <w:pPr>
        <w:pStyle w:val="NormalnyWeb"/>
        <w:spacing w:before="0" w:beforeAutospacing="0" w:after="0" w:afterAutospacing="0" w:line="330" w:lineRule="atLeast"/>
        <w:ind w:left="708"/>
        <w:jc w:val="both"/>
        <w:rPr>
          <w:rFonts w:asciiTheme="majorHAnsi" w:hAnsiTheme="majorHAnsi" w:cstheme="majorHAnsi"/>
          <w:color w:val="26272C"/>
        </w:rPr>
      </w:pPr>
      <w:r w:rsidRPr="00E3754C">
        <w:rPr>
          <w:rFonts w:asciiTheme="majorHAnsi" w:hAnsiTheme="majorHAnsi" w:cstheme="majorHAnsi"/>
          <w:color w:val="26272C"/>
        </w:rPr>
        <w:t>Dzień, w którym dokonuje się wyceny Aktywów Funduszu, ustalenia Wartości Aktywów Netto oraz Wartości Aktywów Netto Funduszu przypadających na Jednostkę Uczestnictwa lub Certyfikat Inwestycyjny.</w:t>
      </w:r>
    </w:p>
    <w:p w14:paraId="5E42FAB0" w14:textId="77777777" w:rsidR="00865130" w:rsidRPr="00E3754C" w:rsidRDefault="00865130" w:rsidP="00865130">
      <w:pPr>
        <w:pStyle w:val="NormalnyWeb"/>
        <w:spacing w:before="0" w:beforeAutospacing="0" w:after="240" w:afterAutospacing="0" w:line="343" w:lineRule="atLeast"/>
        <w:jc w:val="both"/>
        <w:rPr>
          <w:rFonts w:asciiTheme="majorHAnsi" w:hAnsiTheme="majorHAnsi" w:cstheme="majorHAnsi"/>
        </w:rPr>
      </w:pPr>
    </w:p>
    <w:p w14:paraId="4A9809FA" w14:textId="77777777" w:rsidR="00865130" w:rsidRPr="00E3754C" w:rsidRDefault="00865130" w:rsidP="00865130">
      <w:pPr>
        <w:pStyle w:val="NormalnyWeb"/>
        <w:spacing w:after="240" w:line="343" w:lineRule="atLeast"/>
        <w:jc w:val="both"/>
        <w:rPr>
          <w:rFonts w:asciiTheme="majorHAnsi" w:hAnsiTheme="majorHAnsi" w:cstheme="majorHAnsi"/>
          <w:b/>
          <w:bCs/>
        </w:rPr>
      </w:pPr>
      <w:proofErr w:type="spellStart"/>
      <w:r w:rsidRPr="00E3754C">
        <w:rPr>
          <w:rFonts w:asciiTheme="majorHAnsi" w:hAnsiTheme="majorHAnsi" w:cstheme="majorHAnsi"/>
          <w:b/>
          <w:bCs/>
        </w:rPr>
        <w:t>Fact</w:t>
      </w:r>
      <w:proofErr w:type="spellEnd"/>
      <w:r w:rsidRPr="00E3754C">
        <w:rPr>
          <w:rFonts w:asciiTheme="majorHAnsi" w:hAnsiTheme="majorHAnsi" w:cstheme="majorHAnsi"/>
          <w:b/>
          <w:bCs/>
        </w:rPr>
        <w:t xml:space="preserve"> </w:t>
      </w:r>
      <w:proofErr w:type="spellStart"/>
      <w:r w:rsidRPr="00E3754C">
        <w:rPr>
          <w:rFonts w:asciiTheme="majorHAnsi" w:hAnsiTheme="majorHAnsi" w:cstheme="majorHAnsi"/>
          <w:b/>
          <w:bCs/>
        </w:rPr>
        <w:t>Sheet</w:t>
      </w:r>
      <w:proofErr w:type="spellEnd"/>
    </w:p>
    <w:p w14:paraId="45C3A612" w14:textId="77777777" w:rsidR="00865130" w:rsidRPr="00E3754C" w:rsidRDefault="00865130" w:rsidP="00865130">
      <w:pPr>
        <w:pStyle w:val="NormalnyWeb"/>
        <w:spacing w:before="0" w:beforeAutospacing="0" w:after="240" w:afterAutospacing="0" w:line="343" w:lineRule="atLeast"/>
        <w:ind w:left="708"/>
        <w:jc w:val="both"/>
        <w:rPr>
          <w:rFonts w:asciiTheme="majorHAnsi" w:hAnsiTheme="majorHAnsi" w:cstheme="majorHAnsi"/>
        </w:rPr>
      </w:pPr>
      <w:r w:rsidRPr="00E3754C">
        <w:rPr>
          <w:rFonts w:asciiTheme="majorHAnsi" w:hAnsiTheme="majorHAnsi" w:cstheme="majorHAnsi"/>
        </w:rPr>
        <w:t>Nazwa angielska dokumentu "Karta funduszu". Zwykle jedno-dwu stronicowy dokument informacyjny opisujący profil funduszu, jego parametry, wyniki, skład portfela.</w:t>
      </w:r>
    </w:p>
    <w:p w14:paraId="7DC6C9BE" w14:textId="77777777" w:rsidR="00865130" w:rsidRPr="00E3754C" w:rsidRDefault="00865130" w:rsidP="00865130">
      <w:pPr>
        <w:pStyle w:val="Nagwek3"/>
        <w:spacing w:line="308" w:lineRule="atLeast"/>
        <w:jc w:val="both"/>
        <w:rPr>
          <w:rFonts w:asciiTheme="majorHAnsi" w:hAnsiTheme="majorHAnsi" w:cstheme="majorHAnsi"/>
          <w:sz w:val="24"/>
          <w:szCs w:val="24"/>
        </w:rPr>
      </w:pPr>
      <w:r w:rsidRPr="00E3754C">
        <w:rPr>
          <w:rFonts w:asciiTheme="majorHAnsi" w:hAnsiTheme="majorHAnsi" w:cstheme="majorHAnsi"/>
          <w:sz w:val="24"/>
          <w:szCs w:val="24"/>
        </w:rPr>
        <w:t xml:space="preserve">Fundusz </w:t>
      </w:r>
    </w:p>
    <w:p w14:paraId="4E36699F" w14:textId="77777777" w:rsidR="00865130" w:rsidRPr="00E3754C" w:rsidRDefault="00865130" w:rsidP="00865130">
      <w:pPr>
        <w:pStyle w:val="NormalnyWeb"/>
        <w:numPr>
          <w:ilvl w:val="0"/>
          <w:numId w:val="1"/>
        </w:numPr>
        <w:spacing w:after="240" w:line="343" w:lineRule="atLeast"/>
        <w:jc w:val="both"/>
        <w:rPr>
          <w:rFonts w:asciiTheme="majorHAnsi" w:hAnsiTheme="majorHAnsi" w:cstheme="majorHAnsi"/>
        </w:rPr>
      </w:pPr>
      <w:r w:rsidRPr="00E3754C">
        <w:rPr>
          <w:rFonts w:asciiTheme="majorHAnsi" w:hAnsiTheme="majorHAnsi" w:cstheme="majorHAnsi"/>
        </w:rPr>
        <w:t>akcji</w:t>
      </w:r>
    </w:p>
    <w:p w14:paraId="187ECC4F" w14:textId="77777777" w:rsidR="00865130" w:rsidRPr="00E3754C" w:rsidRDefault="00865130" w:rsidP="00865130">
      <w:pPr>
        <w:pStyle w:val="NormalnyWeb"/>
        <w:spacing w:before="0" w:beforeAutospacing="0" w:after="240" w:afterAutospacing="0" w:line="343" w:lineRule="atLeast"/>
        <w:ind w:left="708"/>
        <w:jc w:val="both"/>
        <w:rPr>
          <w:rFonts w:asciiTheme="majorHAnsi" w:hAnsiTheme="majorHAnsi" w:cstheme="majorHAnsi"/>
        </w:rPr>
      </w:pPr>
      <w:r w:rsidRPr="00E3754C">
        <w:rPr>
          <w:rFonts w:asciiTheme="majorHAnsi" w:hAnsiTheme="majorHAnsi" w:cstheme="majorHAnsi"/>
        </w:rPr>
        <w:t>Fundusz inwestycyjny o wysokim wskaźniku ryzyka, którego portfel inwestycyjny składa się w przeważającej części z akcji przedsiębiorstw.</w:t>
      </w:r>
    </w:p>
    <w:p w14:paraId="5370BA7B" w14:textId="77777777" w:rsidR="00865130" w:rsidRPr="00E3754C" w:rsidRDefault="00865130" w:rsidP="00865130">
      <w:pPr>
        <w:pStyle w:val="NormalnyWeb"/>
        <w:numPr>
          <w:ilvl w:val="0"/>
          <w:numId w:val="1"/>
        </w:numPr>
        <w:spacing w:before="0" w:beforeAutospacing="0" w:after="240" w:afterAutospacing="0" w:line="343" w:lineRule="atLeast"/>
        <w:jc w:val="both"/>
        <w:rPr>
          <w:rFonts w:asciiTheme="majorHAnsi" w:hAnsiTheme="majorHAnsi" w:cstheme="majorHAnsi"/>
        </w:rPr>
      </w:pPr>
      <w:r w:rsidRPr="00E3754C">
        <w:rPr>
          <w:rFonts w:asciiTheme="majorHAnsi" w:hAnsiTheme="majorHAnsi" w:cstheme="majorHAnsi"/>
        </w:rPr>
        <w:t>Obligacji</w:t>
      </w:r>
    </w:p>
    <w:p w14:paraId="26AEDAF9" w14:textId="77777777" w:rsidR="00865130" w:rsidRPr="00E3754C" w:rsidRDefault="00865130" w:rsidP="00865130">
      <w:pPr>
        <w:pStyle w:val="NormalnyWeb"/>
        <w:spacing w:before="0" w:beforeAutospacing="0" w:after="240" w:afterAutospacing="0" w:line="343" w:lineRule="atLeast"/>
        <w:ind w:left="708"/>
        <w:jc w:val="both"/>
        <w:rPr>
          <w:rFonts w:asciiTheme="majorHAnsi" w:hAnsiTheme="majorHAnsi" w:cstheme="majorHAnsi"/>
        </w:rPr>
      </w:pPr>
      <w:r w:rsidRPr="00E3754C">
        <w:rPr>
          <w:rFonts w:asciiTheme="majorHAnsi" w:hAnsiTheme="majorHAnsi" w:cstheme="majorHAnsi"/>
        </w:rPr>
        <w:t>Fundusz inwestycyjny, którego aktywa to głównie obligacje, przez co charakteryzuje się niższym od funduszu akcji ryzykiem inwestycyjnym.</w:t>
      </w:r>
    </w:p>
    <w:p w14:paraId="1D135794" w14:textId="77777777" w:rsidR="00865130" w:rsidRPr="00E3754C" w:rsidRDefault="00865130" w:rsidP="00865130">
      <w:pPr>
        <w:pStyle w:val="NormalnyWeb"/>
        <w:numPr>
          <w:ilvl w:val="0"/>
          <w:numId w:val="1"/>
        </w:numPr>
        <w:spacing w:before="0" w:beforeAutospacing="0" w:after="240" w:afterAutospacing="0" w:line="343" w:lineRule="atLeast"/>
        <w:jc w:val="both"/>
        <w:rPr>
          <w:rFonts w:asciiTheme="majorHAnsi" w:hAnsiTheme="majorHAnsi" w:cstheme="majorHAnsi"/>
        </w:rPr>
      </w:pPr>
      <w:r w:rsidRPr="00E3754C">
        <w:rPr>
          <w:rFonts w:asciiTheme="majorHAnsi" w:hAnsiTheme="majorHAnsi" w:cstheme="majorHAnsi"/>
        </w:rPr>
        <w:t>Zrównoważony</w:t>
      </w:r>
    </w:p>
    <w:p w14:paraId="0A13896F" w14:textId="77777777" w:rsidR="00865130" w:rsidRPr="00E3754C" w:rsidRDefault="00865130" w:rsidP="00865130">
      <w:pPr>
        <w:pStyle w:val="NormalnyWeb"/>
        <w:shd w:val="clear" w:color="auto" w:fill="FFFFFF"/>
        <w:spacing w:before="0" w:beforeAutospacing="0" w:after="0" w:afterAutospacing="0"/>
        <w:ind w:left="708"/>
        <w:jc w:val="both"/>
        <w:textAlignment w:val="baseline"/>
        <w:rPr>
          <w:rFonts w:asciiTheme="majorHAnsi" w:hAnsiTheme="majorHAnsi" w:cstheme="majorHAnsi"/>
        </w:rPr>
      </w:pPr>
      <w:r w:rsidRPr="00E3754C">
        <w:rPr>
          <w:rFonts w:asciiTheme="majorHAnsi" w:hAnsiTheme="majorHAnsi" w:cstheme="majorHAnsi"/>
        </w:rPr>
        <w:t>Fundusz inwestycyjny, którego portfel, w ramach zoptymalizowania poziomu zysku i ryzyka, składa się zarówno z akcji, jak i obligacji.</w:t>
      </w:r>
    </w:p>
    <w:p w14:paraId="2A8C1170" w14:textId="77777777" w:rsidR="00865130" w:rsidRPr="00E3754C" w:rsidRDefault="00865130" w:rsidP="00865130">
      <w:pPr>
        <w:pStyle w:val="NormalnyWeb"/>
        <w:spacing w:before="0" w:beforeAutospacing="0" w:after="240" w:afterAutospacing="0" w:line="343" w:lineRule="atLeast"/>
        <w:jc w:val="both"/>
        <w:rPr>
          <w:rFonts w:asciiTheme="majorHAnsi" w:hAnsiTheme="majorHAnsi" w:cstheme="majorHAnsi"/>
        </w:rPr>
      </w:pPr>
    </w:p>
    <w:p w14:paraId="5A85AC4F" w14:textId="77777777" w:rsidR="00865130" w:rsidRPr="00E3754C" w:rsidRDefault="00865130" w:rsidP="00865130">
      <w:pPr>
        <w:pStyle w:val="NormalnyWeb"/>
        <w:spacing w:after="240" w:line="343" w:lineRule="atLeast"/>
        <w:jc w:val="both"/>
        <w:rPr>
          <w:rFonts w:asciiTheme="majorHAnsi" w:hAnsiTheme="majorHAnsi" w:cstheme="majorHAnsi"/>
          <w:b/>
          <w:bCs/>
        </w:rPr>
      </w:pPr>
      <w:r w:rsidRPr="00E3754C">
        <w:rPr>
          <w:rFonts w:asciiTheme="majorHAnsi" w:hAnsiTheme="majorHAnsi" w:cstheme="majorHAnsi"/>
          <w:b/>
          <w:bCs/>
        </w:rPr>
        <w:t>Fundusz Aktywów Niepublicznych</w:t>
      </w:r>
    </w:p>
    <w:p w14:paraId="55303C7F" w14:textId="77777777" w:rsidR="00865130" w:rsidRPr="00E3754C" w:rsidRDefault="00865130" w:rsidP="00865130">
      <w:pPr>
        <w:pStyle w:val="NormalnyWeb"/>
        <w:spacing w:before="0" w:beforeAutospacing="0" w:after="240" w:afterAutospacing="0" w:line="343" w:lineRule="atLeast"/>
        <w:ind w:left="708"/>
        <w:jc w:val="both"/>
        <w:rPr>
          <w:rFonts w:asciiTheme="majorHAnsi" w:hAnsiTheme="majorHAnsi" w:cstheme="majorHAnsi"/>
        </w:rPr>
      </w:pPr>
      <w:r w:rsidRPr="00E3754C">
        <w:rPr>
          <w:rFonts w:asciiTheme="majorHAnsi" w:hAnsiTheme="majorHAnsi" w:cstheme="majorHAnsi"/>
        </w:rPr>
        <w:t xml:space="preserve">Lokuje co najmniej 80% wartości swoich aktywów w aktywa inne niż: 1) papiery wartościowe będące przedmiotem publicznej oferty lub papiery wartościowe dopuszczone do obrotu na rynku regulowanym, chyba że papiery wartościowe stały się przedmiotem publicznej oferty lub zostały dopuszczone do obrotu na rynku regulowanym po ich nabyciu przez fundusz; 2) instrumenty rynku pieniężnego, chyba że zostały wyemitowane przez spółki niepubliczne, których akcje lub udziały wchodzą w skład portfela inwestycyjnego funduszu. W formule funduszu aktywów niepublicznych może działać fundusz inwestycyjny zamknięty lub specjalistyczny fundusz inwestycyjny otwarty stosujący zasady i ograniczenia inwestycyjne funduszu zamkniętego. Przykładami takich funduszy w ofercie </w:t>
      </w:r>
      <w:proofErr w:type="spellStart"/>
      <w:r w:rsidRPr="00E3754C">
        <w:rPr>
          <w:rFonts w:asciiTheme="majorHAnsi" w:hAnsiTheme="majorHAnsi" w:cstheme="majorHAnsi"/>
        </w:rPr>
        <w:t>Investors</w:t>
      </w:r>
      <w:proofErr w:type="spellEnd"/>
      <w:r w:rsidRPr="00E3754C">
        <w:rPr>
          <w:rFonts w:asciiTheme="majorHAnsi" w:hAnsiTheme="majorHAnsi" w:cstheme="majorHAnsi"/>
        </w:rPr>
        <w:t xml:space="preserve"> TFI są prywatne fundusze dedykowane pojedynczym inwestorom.</w:t>
      </w:r>
    </w:p>
    <w:p w14:paraId="368DC042" w14:textId="77777777" w:rsidR="00865130" w:rsidRPr="00312CC8" w:rsidRDefault="00865130" w:rsidP="00865130">
      <w:pPr>
        <w:spacing w:after="0" w:line="330" w:lineRule="atLeast"/>
        <w:ind w:right="150"/>
        <w:jc w:val="both"/>
        <w:outlineLvl w:val="1"/>
        <w:rPr>
          <w:rFonts w:asciiTheme="majorHAnsi" w:eastAsia="Times New Roman" w:hAnsiTheme="majorHAnsi" w:cstheme="majorHAnsi"/>
          <w:b/>
          <w:bCs/>
          <w:sz w:val="24"/>
          <w:szCs w:val="24"/>
          <w:lang w:eastAsia="pl-PL"/>
        </w:rPr>
      </w:pPr>
      <w:r w:rsidRPr="00E3754C">
        <w:rPr>
          <w:rFonts w:asciiTheme="majorHAnsi" w:eastAsia="Times New Roman" w:hAnsiTheme="majorHAnsi" w:cstheme="majorHAnsi"/>
          <w:b/>
          <w:bCs/>
          <w:sz w:val="24"/>
          <w:szCs w:val="24"/>
          <w:lang w:eastAsia="pl-PL"/>
        </w:rPr>
        <w:lastRenderedPageBreak/>
        <w:t>Fundusz Inwestycyjny Otwarty</w:t>
      </w:r>
    </w:p>
    <w:p w14:paraId="771581EF" w14:textId="77777777" w:rsidR="00865130" w:rsidRDefault="00865130" w:rsidP="00865130">
      <w:pPr>
        <w:spacing w:after="0" w:line="330" w:lineRule="atLeast"/>
        <w:jc w:val="both"/>
        <w:rPr>
          <w:rFonts w:asciiTheme="majorHAnsi" w:eastAsia="Times New Roman" w:hAnsiTheme="majorHAnsi" w:cstheme="majorHAnsi"/>
          <w:sz w:val="24"/>
          <w:szCs w:val="24"/>
          <w:lang w:eastAsia="pl-PL"/>
        </w:rPr>
      </w:pPr>
    </w:p>
    <w:p w14:paraId="0F26A57D" w14:textId="77777777" w:rsidR="00865130" w:rsidRPr="00312CC8" w:rsidRDefault="00865130" w:rsidP="00865130">
      <w:pPr>
        <w:spacing w:after="0" w:line="330" w:lineRule="atLeast"/>
        <w:ind w:left="708"/>
        <w:jc w:val="both"/>
        <w:rPr>
          <w:rFonts w:asciiTheme="majorHAnsi" w:eastAsia="Times New Roman" w:hAnsiTheme="majorHAnsi" w:cstheme="majorHAnsi"/>
          <w:sz w:val="24"/>
          <w:szCs w:val="24"/>
          <w:lang w:eastAsia="pl-PL"/>
        </w:rPr>
      </w:pPr>
      <w:r w:rsidRPr="00312CC8">
        <w:rPr>
          <w:rFonts w:asciiTheme="majorHAnsi" w:eastAsia="Times New Roman" w:hAnsiTheme="majorHAnsi" w:cstheme="majorHAnsi"/>
          <w:sz w:val="24"/>
          <w:szCs w:val="24"/>
          <w:lang w:eastAsia="pl-PL"/>
        </w:rPr>
        <w:t xml:space="preserve">Daje największą swobodę dysponowania zgromadzonymi środkami. Fundusz zbywa jednostki uczestnictwa i dokonuje ich odkupienia na żądanie uczestnika funduszu, z częstotliwością określoną w statucie funduszu, nie rzadziej jednak niż raz na 7 dni. Z chwilą odkupienia jednostki uczestnictwa są umarzane z mocy prawa. Fundusze zarządzane przez </w:t>
      </w:r>
      <w:proofErr w:type="spellStart"/>
      <w:r w:rsidRPr="00312CC8">
        <w:rPr>
          <w:rFonts w:asciiTheme="majorHAnsi" w:eastAsia="Times New Roman" w:hAnsiTheme="majorHAnsi" w:cstheme="majorHAnsi"/>
          <w:sz w:val="24"/>
          <w:szCs w:val="24"/>
          <w:lang w:eastAsia="pl-PL"/>
        </w:rPr>
        <w:t>Investors</w:t>
      </w:r>
      <w:proofErr w:type="spellEnd"/>
      <w:r w:rsidRPr="00312CC8">
        <w:rPr>
          <w:rFonts w:asciiTheme="majorHAnsi" w:eastAsia="Times New Roman" w:hAnsiTheme="majorHAnsi" w:cstheme="majorHAnsi"/>
          <w:sz w:val="24"/>
          <w:szCs w:val="24"/>
          <w:lang w:eastAsia="pl-PL"/>
        </w:rPr>
        <w:t xml:space="preserve"> TFI zbywają i umarzają jednostki uczestnictwa w każdy dzień, w którym odbywają się regularne sesje Giełdy Papierów Wartościowych w Warszawie.</w:t>
      </w:r>
    </w:p>
    <w:p w14:paraId="58A76308" w14:textId="77777777" w:rsidR="00865130" w:rsidRPr="00E3754C" w:rsidRDefault="00865130" w:rsidP="00865130">
      <w:pPr>
        <w:pStyle w:val="NormalnyWeb"/>
        <w:spacing w:before="0" w:beforeAutospacing="0" w:after="240" w:afterAutospacing="0" w:line="343" w:lineRule="atLeast"/>
        <w:jc w:val="both"/>
        <w:rPr>
          <w:rFonts w:asciiTheme="majorHAnsi" w:hAnsiTheme="majorHAnsi" w:cstheme="majorHAnsi"/>
        </w:rPr>
      </w:pPr>
    </w:p>
    <w:p w14:paraId="288F13B5" w14:textId="77777777" w:rsidR="00865130" w:rsidRPr="00E3754C" w:rsidRDefault="00865130" w:rsidP="00865130">
      <w:pPr>
        <w:pStyle w:val="Nagwek3"/>
        <w:spacing w:line="308" w:lineRule="atLeast"/>
        <w:jc w:val="both"/>
        <w:rPr>
          <w:rFonts w:asciiTheme="majorHAnsi" w:hAnsiTheme="majorHAnsi" w:cstheme="majorHAnsi"/>
          <w:sz w:val="24"/>
          <w:szCs w:val="24"/>
        </w:rPr>
      </w:pPr>
      <w:r w:rsidRPr="00E3754C">
        <w:rPr>
          <w:rFonts w:asciiTheme="majorHAnsi" w:hAnsiTheme="majorHAnsi" w:cstheme="majorHAnsi"/>
          <w:sz w:val="24"/>
          <w:szCs w:val="24"/>
        </w:rPr>
        <w:t>Giełda papierów wartościowych</w:t>
      </w:r>
    </w:p>
    <w:p w14:paraId="13F3CC84" w14:textId="77777777" w:rsidR="00865130" w:rsidRPr="00E3754C" w:rsidRDefault="00865130" w:rsidP="00865130">
      <w:pPr>
        <w:pStyle w:val="NormalnyWeb"/>
        <w:spacing w:before="0" w:beforeAutospacing="0" w:after="240" w:afterAutospacing="0" w:line="343" w:lineRule="atLeast"/>
        <w:ind w:left="708"/>
        <w:jc w:val="both"/>
        <w:rPr>
          <w:rFonts w:asciiTheme="majorHAnsi" w:hAnsiTheme="majorHAnsi" w:cstheme="majorHAnsi"/>
        </w:rPr>
      </w:pPr>
      <w:r w:rsidRPr="00E3754C">
        <w:rPr>
          <w:rFonts w:asciiTheme="majorHAnsi" w:hAnsiTheme="majorHAnsi" w:cstheme="majorHAnsi"/>
        </w:rPr>
        <w:t>Miejsce zorganizowanego obrotu papierami wartościowymi np. akacjami czy obligacjami. W Polsce od 16 kwietnia 1991 roku funkcjonuje Giełda Papierów Wartościowych w Warszawie, która od 9 listopada 2010r. jest spółką notowaną na GPW, będąca obecnie największą giełdą Europy Środkowo – Wschodniej</w:t>
      </w:r>
    </w:p>
    <w:p w14:paraId="0AF99B8E" w14:textId="77777777" w:rsidR="00865130" w:rsidRPr="00E3754C" w:rsidRDefault="00865130" w:rsidP="00865130">
      <w:pPr>
        <w:pStyle w:val="NormalnyWeb"/>
        <w:spacing w:after="240" w:line="343" w:lineRule="atLeast"/>
        <w:jc w:val="both"/>
        <w:rPr>
          <w:rFonts w:asciiTheme="majorHAnsi" w:hAnsiTheme="majorHAnsi" w:cstheme="majorHAnsi"/>
          <w:b/>
          <w:bCs/>
        </w:rPr>
      </w:pPr>
      <w:r w:rsidRPr="00E3754C">
        <w:rPr>
          <w:rFonts w:asciiTheme="majorHAnsi" w:hAnsiTheme="majorHAnsi" w:cstheme="majorHAnsi"/>
          <w:b/>
          <w:bCs/>
        </w:rPr>
        <w:t>Horyzont Inwestycyjny</w:t>
      </w:r>
    </w:p>
    <w:p w14:paraId="24D14186" w14:textId="77777777" w:rsidR="00865130" w:rsidRPr="00E3754C" w:rsidRDefault="00865130" w:rsidP="00865130">
      <w:pPr>
        <w:pStyle w:val="NormalnyWeb"/>
        <w:spacing w:before="0" w:beforeAutospacing="0" w:after="240" w:afterAutospacing="0" w:line="343" w:lineRule="atLeast"/>
        <w:ind w:left="708"/>
        <w:jc w:val="both"/>
        <w:rPr>
          <w:rFonts w:asciiTheme="majorHAnsi" w:hAnsiTheme="majorHAnsi" w:cstheme="majorHAnsi"/>
        </w:rPr>
      </w:pPr>
      <w:r w:rsidRPr="00E3754C">
        <w:rPr>
          <w:rFonts w:asciiTheme="majorHAnsi" w:hAnsiTheme="majorHAnsi" w:cstheme="majorHAnsi"/>
        </w:rPr>
        <w:t>Przewidywany i akceptowalny przez inwestora okres czasu na jaki może „zamrozić” pieniądze lokowane w aktywa obciążone ryzykiem, np. istotnych wahań wartości lub płynności. Nie jest on tożsamy z faktycznym okresem inwestycji, który może być dłuższy lub krótszy. Planując horyzont inwestycyjny należy brać pod uwagę cel inwestycyjny, politykę za pomocą której jest realizowany, ale także inne czynniki, jak np. cykliczność koniunktury danego rynku, która wpływa na możliwość realizacji celu w określonym czasie.</w:t>
      </w:r>
    </w:p>
    <w:p w14:paraId="0ACB683B" w14:textId="77777777" w:rsidR="00865130" w:rsidRPr="00E3754C" w:rsidRDefault="00865130" w:rsidP="00865130">
      <w:pPr>
        <w:pStyle w:val="NormalnyWeb"/>
        <w:spacing w:after="240" w:line="343" w:lineRule="atLeast"/>
        <w:jc w:val="both"/>
        <w:rPr>
          <w:rFonts w:asciiTheme="majorHAnsi" w:hAnsiTheme="majorHAnsi" w:cstheme="majorHAnsi"/>
          <w:b/>
          <w:bCs/>
        </w:rPr>
      </w:pPr>
      <w:r w:rsidRPr="00E3754C">
        <w:rPr>
          <w:rFonts w:asciiTheme="majorHAnsi" w:hAnsiTheme="majorHAnsi" w:cstheme="majorHAnsi"/>
          <w:b/>
          <w:bCs/>
        </w:rPr>
        <w:t>Hossa</w:t>
      </w:r>
    </w:p>
    <w:p w14:paraId="386A5BE7" w14:textId="77777777" w:rsidR="00865130" w:rsidRPr="00E3754C" w:rsidRDefault="00865130" w:rsidP="00865130">
      <w:pPr>
        <w:pStyle w:val="NormalnyWeb"/>
        <w:spacing w:before="0" w:beforeAutospacing="0" w:after="240" w:afterAutospacing="0" w:line="343" w:lineRule="atLeast"/>
        <w:ind w:left="708"/>
        <w:jc w:val="both"/>
        <w:rPr>
          <w:rFonts w:asciiTheme="majorHAnsi" w:hAnsiTheme="majorHAnsi" w:cstheme="majorHAnsi"/>
        </w:rPr>
      </w:pPr>
      <w:r w:rsidRPr="00E3754C">
        <w:rPr>
          <w:rFonts w:asciiTheme="majorHAnsi" w:hAnsiTheme="majorHAnsi" w:cstheme="majorHAnsi"/>
        </w:rPr>
        <w:t>Przeciwieństwo bessy, czyli rynek byka, hasło będące na giełdzie odzwierciedleniem długotrwałego okresu obfitującego we wzrosty kursów giełdowych.</w:t>
      </w:r>
    </w:p>
    <w:p w14:paraId="635476CC" w14:textId="77777777" w:rsidR="00865130" w:rsidRPr="00E3754C" w:rsidRDefault="00865130" w:rsidP="00865130">
      <w:pPr>
        <w:pStyle w:val="NormalnyWeb"/>
        <w:spacing w:before="0" w:beforeAutospacing="0" w:after="240" w:afterAutospacing="0" w:line="343" w:lineRule="atLeast"/>
        <w:jc w:val="both"/>
        <w:rPr>
          <w:rFonts w:asciiTheme="majorHAnsi" w:hAnsiTheme="majorHAnsi" w:cstheme="majorHAnsi"/>
          <w:b/>
          <w:bCs/>
        </w:rPr>
      </w:pPr>
      <w:r w:rsidRPr="00E3754C">
        <w:rPr>
          <w:rFonts w:asciiTheme="majorHAnsi" w:hAnsiTheme="majorHAnsi" w:cstheme="majorHAnsi"/>
          <w:b/>
          <w:bCs/>
        </w:rPr>
        <w:t>Indywidualne Konto Emerytalne</w:t>
      </w:r>
    </w:p>
    <w:p w14:paraId="3A5E4DB2" w14:textId="77777777" w:rsidR="00865130" w:rsidRPr="00E3754C" w:rsidRDefault="00865130" w:rsidP="00865130">
      <w:pPr>
        <w:pStyle w:val="NormalnyWeb"/>
        <w:spacing w:before="0" w:beforeAutospacing="0" w:after="0" w:afterAutospacing="0" w:line="330" w:lineRule="atLeast"/>
        <w:ind w:left="708"/>
        <w:jc w:val="both"/>
        <w:rPr>
          <w:rFonts w:asciiTheme="majorHAnsi" w:hAnsiTheme="majorHAnsi" w:cstheme="majorHAnsi"/>
          <w:color w:val="26272C"/>
        </w:rPr>
      </w:pPr>
      <w:r w:rsidRPr="00E3754C">
        <w:rPr>
          <w:rFonts w:asciiTheme="majorHAnsi" w:hAnsiTheme="majorHAnsi" w:cstheme="majorHAnsi"/>
          <w:color w:val="26272C"/>
        </w:rPr>
        <w:t>Konta IKE zostały wprowadzone, żeby promować systematyczne oszczędzanie z myślą o emeryturze. Inwestujesz tak samo jak w zwykłe fundusze, przy jednoczesnej korzyści podatkowej. Twoje zyski nie podlegają 19% podatkowi od zysków kapitałowych, o ile nie wypłacisz zgromadzonych środków przed osiągnięciem wieku emerytalnego.</w:t>
      </w:r>
    </w:p>
    <w:p w14:paraId="4ED77A7B" w14:textId="77777777" w:rsidR="00865130" w:rsidRDefault="00865130" w:rsidP="00865130">
      <w:pPr>
        <w:pStyle w:val="NormalnyWeb"/>
        <w:spacing w:before="0" w:beforeAutospacing="0" w:after="240" w:afterAutospacing="0" w:line="343" w:lineRule="atLeast"/>
        <w:jc w:val="both"/>
        <w:rPr>
          <w:rFonts w:asciiTheme="majorHAnsi" w:hAnsiTheme="majorHAnsi" w:cstheme="majorHAnsi"/>
          <w:b/>
          <w:bCs/>
        </w:rPr>
      </w:pPr>
    </w:p>
    <w:p w14:paraId="3B82B233" w14:textId="77777777" w:rsidR="00865130" w:rsidRDefault="00865130" w:rsidP="00865130">
      <w:pPr>
        <w:pStyle w:val="NormalnyWeb"/>
        <w:spacing w:before="0" w:beforeAutospacing="0" w:after="240" w:afterAutospacing="0" w:line="343" w:lineRule="atLeast"/>
        <w:jc w:val="both"/>
        <w:rPr>
          <w:rFonts w:asciiTheme="majorHAnsi" w:hAnsiTheme="majorHAnsi" w:cstheme="majorHAnsi"/>
          <w:b/>
          <w:bCs/>
        </w:rPr>
      </w:pPr>
    </w:p>
    <w:p w14:paraId="1FFB2F7D" w14:textId="77777777" w:rsidR="00865130" w:rsidRPr="00E3754C" w:rsidRDefault="00865130" w:rsidP="00865130">
      <w:pPr>
        <w:pStyle w:val="NormalnyWeb"/>
        <w:spacing w:before="0" w:beforeAutospacing="0" w:after="240" w:afterAutospacing="0" w:line="343" w:lineRule="atLeast"/>
        <w:jc w:val="both"/>
        <w:rPr>
          <w:rFonts w:asciiTheme="majorHAnsi" w:hAnsiTheme="majorHAnsi" w:cstheme="majorHAnsi"/>
          <w:b/>
          <w:bCs/>
        </w:rPr>
      </w:pPr>
    </w:p>
    <w:p w14:paraId="0259838A" w14:textId="77777777" w:rsidR="00865130" w:rsidRPr="00E3754C" w:rsidRDefault="00865130" w:rsidP="00865130">
      <w:pPr>
        <w:pStyle w:val="NormalnyWeb"/>
        <w:spacing w:before="0" w:beforeAutospacing="0" w:after="240" w:afterAutospacing="0" w:line="343" w:lineRule="atLeast"/>
        <w:jc w:val="both"/>
        <w:rPr>
          <w:rFonts w:asciiTheme="majorHAnsi" w:hAnsiTheme="majorHAnsi" w:cstheme="majorHAnsi"/>
          <w:b/>
          <w:bCs/>
        </w:rPr>
      </w:pPr>
      <w:r w:rsidRPr="00E3754C">
        <w:rPr>
          <w:rFonts w:asciiTheme="majorHAnsi" w:hAnsiTheme="majorHAnsi" w:cstheme="majorHAnsi"/>
          <w:b/>
          <w:bCs/>
        </w:rPr>
        <w:lastRenderedPageBreak/>
        <w:t>Inflacja</w:t>
      </w:r>
    </w:p>
    <w:p w14:paraId="3F17F04B" w14:textId="77777777" w:rsidR="00865130" w:rsidRPr="00E3754C" w:rsidRDefault="00865130" w:rsidP="00865130">
      <w:pPr>
        <w:pStyle w:val="NormalnyWeb"/>
        <w:spacing w:before="0" w:beforeAutospacing="0" w:after="240" w:afterAutospacing="0" w:line="343" w:lineRule="atLeast"/>
        <w:ind w:left="708"/>
        <w:jc w:val="both"/>
        <w:rPr>
          <w:rFonts w:asciiTheme="majorHAnsi" w:hAnsiTheme="majorHAnsi" w:cstheme="majorHAnsi"/>
          <w:color w:val="3C3C3C"/>
          <w:shd w:val="clear" w:color="auto" w:fill="FFFFFF"/>
        </w:rPr>
      </w:pPr>
      <w:r w:rsidRPr="00E3754C">
        <w:rPr>
          <w:rFonts w:asciiTheme="majorHAnsi" w:hAnsiTheme="majorHAnsi" w:cstheme="majorHAnsi"/>
          <w:color w:val="3C3C3C"/>
          <w:shd w:val="clear" w:color="auto" w:fill="FFFFFF"/>
        </w:rPr>
        <w:t>Wzrost średniego poziomu cen w gospodarce, co w konsekwencji prowadzi do spadku siły nabywczej pieniądza krajowego. Zjawiskiem przeciwnym jest deflacja – spadek przeciętnego poziomu cen w gospodarce, który przekłada się na wzrost siły nabywczej pieniądza.</w:t>
      </w:r>
    </w:p>
    <w:p w14:paraId="146A38B4" w14:textId="77777777" w:rsidR="00865130" w:rsidRPr="00E3754C" w:rsidRDefault="00865130" w:rsidP="00865130">
      <w:pPr>
        <w:pStyle w:val="NormalnyWeb"/>
        <w:spacing w:after="240" w:line="343" w:lineRule="atLeast"/>
        <w:jc w:val="both"/>
        <w:rPr>
          <w:rFonts w:asciiTheme="majorHAnsi" w:hAnsiTheme="majorHAnsi" w:cstheme="majorHAnsi"/>
          <w:b/>
          <w:bCs/>
        </w:rPr>
      </w:pPr>
      <w:r w:rsidRPr="00E3754C">
        <w:rPr>
          <w:rFonts w:asciiTheme="majorHAnsi" w:hAnsiTheme="majorHAnsi" w:cstheme="majorHAnsi"/>
          <w:b/>
          <w:bCs/>
        </w:rPr>
        <w:t>Instrumenty Pochodne</w:t>
      </w:r>
    </w:p>
    <w:p w14:paraId="4A0E187F" w14:textId="77777777" w:rsidR="00865130" w:rsidRPr="00E3754C" w:rsidRDefault="00865130" w:rsidP="00865130">
      <w:pPr>
        <w:pStyle w:val="NormalnyWeb"/>
        <w:spacing w:before="0" w:beforeAutospacing="0" w:after="240" w:afterAutospacing="0" w:line="343" w:lineRule="atLeast"/>
        <w:ind w:left="708"/>
        <w:jc w:val="both"/>
        <w:rPr>
          <w:rFonts w:asciiTheme="majorHAnsi" w:hAnsiTheme="majorHAnsi" w:cstheme="majorHAnsi"/>
        </w:rPr>
      </w:pPr>
      <w:r w:rsidRPr="00E3754C">
        <w:rPr>
          <w:rFonts w:asciiTheme="majorHAnsi" w:hAnsiTheme="majorHAnsi" w:cstheme="majorHAnsi"/>
        </w:rPr>
        <w:t xml:space="preserve">Nazywane inaczej </w:t>
      </w:r>
      <w:proofErr w:type="spellStart"/>
      <w:r w:rsidRPr="00E3754C">
        <w:rPr>
          <w:rFonts w:asciiTheme="majorHAnsi" w:hAnsiTheme="majorHAnsi" w:cstheme="majorHAnsi"/>
        </w:rPr>
        <w:t>derywatywami</w:t>
      </w:r>
      <w:proofErr w:type="spellEnd"/>
      <w:r w:rsidRPr="00E3754C">
        <w:rPr>
          <w:rFonts w:asciiTheme="majorHAnsi" w:hAnsiTheme="majorHAnsi" w:cstheme="majorHAnsi"/>
        </w:rPr>
        <w:t xml:space="preserve"> (choć często używane jest sformułowanie "derywaty"). Do instrumentów pochodnych zaliczamy różnego rodzaju opcje, kontrakty terminowe </w:t>
      </w:r>
      <w:proofErr w:type="spellStart"/>
      <w:r w:rsidRPr="00E3754C">
        <w:rPr>
          <w:rFonts w:asciiTheme="majorHAnsi" w:hAnsiTheme="majorHAnsi" w:cstheme="majorHAnsi"/>
        </w:rPr>
        <w:t>futures</w:t>
      </w:r>
      <w:proofErr w:type="spellEnd"/>
      <w:r w:rsidRPr="00E3754C">
        <w:rPr>
          <w:rFonts w:asciiTheme="majorHAnsi" w:hAnsiTheme="majorHAnsi" w:cstheme="majorHAnsi"/>
        </w:rPr>
        <w:t xml:space="preserve"> i </w:t>
      </w:r>
      <w:proofErr w:type="spellStart"/>
      <w:r w:rsidRPr="00E3754C">
        <w:rPr>
          <w:rFonts w:asciiTheme="majorHAnsi" w:hAnsiTheme="majorHAnsi" w:cstheme="majorHAnsi"/>
        </w:rPr>
        <w:t>forward</w:t>
      </w:r>
      <w:proofErr w:type="spellEnd"/>
      <w:r w:rsidRPr="00E3754C">
        <w:rPr>
          <w:rFonts w:asciiTheme="majorHAnsi" w:hAnsiTheme="majorHAnsi" w:cstheme="majorHAnsi"/>
        </w:rPr>
        <w:t xml:space="preserve">, </w:t>
      </w:r>
      <w:proofErr w:type="spellStart"/>
      <w:r w:rsidRPr="00E3754C">
        <w:rPr>
          <w:rFonts w:asciiTheme="majorHAnsi" w:hAnsiTheme="majorHAnsi" w:cstheme="majorHAnsi"/>
        </w:rPr>
        <w:t>swapy</w:t>
      </w:r>
      <w:proofErr w:type="spellEnd"/>
      <w:r w:rsidRPr="00E3754C">
        <w:rPr>
          <w:rFonts w:asciiTheme="majorHAnsi" w:hAnsiTheme="majorHAnsi" w:cstheme="majorHAnsi"/>
        </w:rPr>
        <w:t>, warranty. Są to instrumenty finansowe, uzależnione od instrumentu bazowego, np. akcji, obligacji, towarów, walut, wysokości stopy procentowej, wartości indeksu giełdowego oraz różnego rodzaju zjawisk, choćby pogodowych. Cechą charakterystyczną instrumentów pochodnych jest to, że dotyczą przyszłej daty i przyszłej ceny, ponieważ zawierane są wcześniej. Dzięki dźwigni finansowej pozwalają osiągnąć znaczny efekt (zysk lub stratę), przy relatywnie niskim zaangażowaniu środków finansowych. Z tego powodu wykorzystywane są zarówno w celach zabezpieczających, jak i w celach spekulacyjnych.</w:t>
      </w:r>
    </w:p>
    <w:p w14:paraId="19CEA871" w14:textId="77777777" w:rsidR="00865130" w:rsidRPr="00E3754C" w:rsidRDefault="00865130" w:rsidP="00865130">
      <w:pPr>
        <w:pStyle w:val="NormalnyWeb"/>
        <w:spacing w:before="0" w:beforeAutospacing="0" w:after="240" w:afterAutospacing="0" w:line="343" w:lineRule="atLeast"/>
        <w:jc w:val="both"/>
        <w:rPr>
          <w:rFonts w:asciiTheme="majorHAnsi" w:hAnsiTheme="majorHAnsi" w:cstheme="majorHAnsi"/>
        </w:rPr>
      </w:pPr>
    </w:p>
    <w:p w14:paraId="2820A489" w14:textId="77777777" w:rsidR="00865130" w:rsidRPr="00E3754C" w:rsidRDefault="00865130" w:rsidP="00865130">
      <w:pPr>
        <w:pStyle w:val="NormalnyWeb"/>
        <w:spacing w:after="240" w:line="343" w:lineRule="atLeast"/>
        <w:jc w:val="both"/>
        <w:rPr>
          <w:rFonts w:asciiTheme="majorHAnsi" w:hAnsiTheme="majorHAnsi" w:cstheme="majorHAnsi"/>
          <w:b/>
          <w:bCs/>
        </w:rPr>
      </w:pPr>
      <w:r w:rsidRPr="00E3754C">
        <w:rPr>
          <w:rFonts w:asciiTheme="majorHAnsi" w:hAnsiTheme="majorHAnsi" w:cstheme="majorHAnsi"/>
          <w:b/>
          <w:bCs/>
        </w:rPr>
        <w:t>Inwestycyjne narzędzia alternatywne</w:t>
      </w:r>
    </w:p>
    <w:p w14:paraId="0754D911" w14:textId="77777777" w:rsidR="00865130" w:rsidRPr="00E3754C" w:rsidRDefault="00865130" w:rsidP="00865130">
      <w:pPr>
        <w:pStyle w:val="NormalnyWeb"/>
        <w:spacing w:before="0" w:beforeAutospacing="0" w:after="240" w:afterAutospacing="0" w:line="343" w:lineRule="atLeast"/>
        <w:ind w:left="708"/>
        <w:jc w:val="both"/>
        <w:rPr>
          <w:rFonts w:asciiTheme="majorHAnsi" w:hAnsiTheme="majorHAnsi" w:cstheme="majorHAnsi"/>
        </w:rPr>
      </w:pPr>
      <w:r w:rsidRPr="00E3754C">
        <w:rPr>
          <w:rFonts w:asciiTheme="majorHAnsi" w:hAnsiTheme="majorHAnsi" w:cstheme="majorHAnsi"/>
        </w:rPr>
        <w:t>To powiązane znikomo (lub w ogóle) z rynkiem kapitałowym narzędzia inwestycyjne jak dzieła sztuki, diamenty i kolorowe kamienie szlachetne, antyki czy inne, najczęściej luksusowe dobra, w przypadku których trudny do określenia jest zarówno poziom ryzyka inwestycyjnego, jak i przewidywanego zysku (straty).</w:t>
      </w:r>
    </w:p>
    <w:p w14:paraId="5D18049E" w14:textId="77777777" w:rsidR="00865130" w:rsidRPr="00E3754C" w:rsidRDefault="00865130" w:rsidP="00865130">
      <w:pPr>
        <w:pStyle w:val="Nagwek3"/>
        <w:spacing w:line="308" w:lineRule="atLeast"/>
        <w:jc w:val="both"/>
        <w:rPr>
          <w:rFonts w:asciiTheme="majorHAnsi" w:hAnsiTheme="majorHAnsi" w:cstheme="majorHAnsi"/>
          <w:sz w:val="24"/>
          <w:szCs w:val="24"/>
        </w:rPr>
      </w:pPr>
      <w:r w:rsidRPr="00E3754C">
        <w:rPr>
          <w:rFonts w:asciiTheme="majorHAnsi" w:hAnsiTheme="majorHAnsi" w:cstheme="majorHAnsi"/>
          <w:sz w:val="24"/>
          <w:szCs w:val="24"/>
        </w:rPr>
        <w:t>Jednostka uczestnictwa</w:t>
      </w:r>
    </w:p>
    <w:p w14:paraId="7D75F803" w14:textId="77777777" w:rsidR="00865130" w:rsidRPr="00E3754C" w:rsidRDefault="00865130" w:rsidP="00865130">
      <w:pPr>
        <w:pStyle w:val="Nagwek3"/>
        <w:spacing w:line="308" w:lineRule="atLeast"/>
        <w:ind w:left="708"/>
        <w:jc w:val="both"/>
        <w:rPr>
          <w:rFonts w:asciiTheme="majorHAnsi" w:hAnsiTheme="majorHAnsi" w:cstheme="majorHAnsi"/>
          <w:b w:val="0"/>
          <w:bCs w:val="0"/>
          <w:sz w:val="24"/>
          <w:szCs w:val="24"/>
        </w:rPr>
      </w:pPr>
      <w:r w:rsidRPr="00E3754C">
        <w:rPr>
          <w:rFonts w:asciiTheme="majorHAnsi" w:hAnsiTheme="majorHAnsi" w:cstheme="majorHAnsi"/>
          <w:b w:val="0"/>
          <w:bCs w:val="0"/>
          <w:sz w:val="24"/>
          <w:szCs w:val="24"/>
        </w:rPr>
        <w:t xml:space="preserve">Prawo majątkowe uczestnika funduszu do udziału w aktywach netto funduszu otwartego lub specjalistycznego funduszu otwartego. Środki zainwestowane przez klientów są przeliczane na jednostki uczestnictwa. Wartość jednostki uczestnictwa wyceniana jest przeważnie codziennie, a wycenę publikują codzienne gazety i portale internetowe. W przypadku funduszy zarządzanych przez </w:t>
      </w:r>
      <w:proofErr w:type="spellStart"/>
      <w:r w:rsidRPr="00E3754C">
        <w:rPr>
          <w:rFonts w:asciiTheme="majorHAnsi" w:hAnsiTheme="majorHAnsi" w:cstheme="majorHAnsi"/>
          <w:b w:val="0"/>
          <w:bCs w:val="0"/>
          <w:sz w:val="24"/>
          <w:szCs w:val="24"/>
        </w:rPr>
        <w:t>Investors</w:t>
      </w:r>
      <w:proofErr w:type="spellEnd"/>
      <w:r w:rsidRPr="00E3754C">
        <w:rPr>
          <w:rFonts w:asciiTheme="majorHAnsi" w:hAnsiTheme="majorHAnsi" w:cstheme="majorHAnsi"/>
          <w:b w:val="0"/>
          <w:bCs w:val="0"/>
          <w:sz w:val="24"/>
          <w:szCs w:val="24"/>
        </w:rPr>
        <w:t xml:space="preserve"> TFI, wycena dokonywana jest w każdy dzień, w którym odbywają się regularne sesje Giełdy Papierów Wartościowych w Warszawie.</w:t>
      </w:r>
    </w:p>
    <w:p w14:paraId="31B88A65" w14:textId="77777777" w:rsidR="00865130" w:rsidRPr="00E3754C" w:rsidRDefault="00865130" w:rsidP="00865130">
      <w:pPr>
        <w:pStyle w:val="Nagwek3"/>
        <w:spacing w:line="308" w:lineRule="atLeast"/>
        <w:jc w:val="both"/>
        <w:rPr>
          <w:rFonts w:asciiTheme="majorHAnsi" w:hAnsiTheme="majorHAnsi" w:cstheme="majorHAnsi"/>
          <w:sz w:val="24"/>
          <w:szCs w:val="24"/>
        </w:rPr>
      </w:pPr>
      <w:r w:rsidRPr="00E3754C">
        <w:rPr>
          <w:rFonts w:asciiTheme="majorHAnsi" w:hAnsiTheme="majorHAnsi" w:cstheme="majorHAnsi"/>
          <w:sz w:val="24"/>
          <w:szCs w:val="24"/>
        </w:rPr>
        <w:t>Karta Funduszu</w:t>
      </w:r>
    </w:p>
    <w:p w14:paraId="0FA20F8C" w14:textId="77777777" w:rsidR="00865130" w:rsidRPr="00E3754C" w:rsidRDefault="00865130" w:rsidP="00865130">
      <w:pPr>
        <w:pStyle w:val="Nagwek3"/>
        <w:spacing w:line="308" w:lineRule="atLeast"/>
        <w:ind w:left="708"/>
        <w:jc w:val="both"/>
        <w:rPr>
          <w:rFonts w:asciiTheme="majorHAnsi" w:hAnsiTheme="majorHAnsi" w:cstheme="majorHAnsi"/>
          <w:b w:val="0"/>
          <w:bCs w:val="0"/>
          <w:sz w:val="24"/>
          <w:szCs w:val="24"/>
        </w:rPr>
      </w:pPr>
      <w:r w:rsidRPr="00E3754C">
        <w:rPr>
          <w:rFonts w:asciiTheme="majorHAnsi" w:hAnsiTheme="majorHAnsi" w:cstheme="majorHAnsi"/>
          <w:b w:val="0"/>
          <w:bCs w:val="0"/>
          <w:sz w:val="24"/>
          <w:szCs w:val="24"/>
        </w:rPr>
        <w:t>Zwykle jedno-dwu stronicowy dokument informacyjny opisujący profil funduszu, jego parametry, wyniki, skład portfela. Często funkcjonuje nazwa angielska "</w:t>
      </w:r>
      <w:proofErr w:type="spellStart"/>
      <w:r w:rsidRPr="00E3754C">
        <w:rPr>
          <w:rFonts w:asciiTheme="majorHAnsi" w:hAnsiTheme="majorHAnsi" w:cstheme="majorHAnsi"/>
          <w:b w:val="0"/>
          <w:bCs w:val="0"/>
          <w:sz w:val="24"/>
          <w:szCs w:val="24"/>
        </w:rPr>
        <w:t>fact</w:t>
      </w:r>
      <w:proofErr w:type="spellEnd"/>
      <w:r w:rsidRPr="00E3754C">
        <w:rPr>
          <w:rFonts w:asciiTheme="majorHAnsi" w:hAnsiTheme="majorHAnsi" w:cstheme="majorHAnsi"/>
          <w:b w:val="0"/>
          <w:bCs w:val="0"/>
          <w:sz w:val="24"/>
          <w:szCs w:val="24"/>
        </w:rPr>
        <w:t xml:space="preserve"> </w:t>
      </w:r>
      <w:proofErr w:type="spellStart"/>
      <w:r w:rsidRPr="00E3754C">
        <w:rPr>
          <w:rFonts w:asciiTheme="majorHAnsi" w:hAnsiTheme="majorHAnsi" w:cstheme="majorHAnsi"/>
          <w:b w:val="0"/>
          <w:bCs w:val="0"/>
          <w:sz w:val="24"/>
          <w:szCs w:val="24"/>
        </w:rPr>
        <w:t>sheet</w:t>
      </w:r>
      <w:proofErr w:type="spellEnd"/>
      <w:r w:rsidRPr="00E3754C">
        <w:rPr>
          <w:rFonts w:asciiTheme="majorHAnsi" w:hAnsiTheme="majorHAnsi" w:cstheme="majorHAnsi"/>
          <w:b w:val="0"/>
          <w:bCs w:val="0"/>
          <w:sz w:val="24"/>
          <w:szCs w:val="24"/>
        </w:rPr>
        <w:t>".</w:t>
      </w:r>
    </w:p>
    <w:p w14:paraId="573B32F1" w14:textId="77777777" w:rsidR="00865130" w:rsidRPr="00E3754C" w:rsidRDefault="00865130" w:rsidP="00865130">
      <w:pPr>
        <w:pStyle w:val="Nagwek3"/>
        <w:spacing w:line="308" w:lineRule="atLeast"/>
        <w:jc w:val="both"/>
        <w:rPr>
          <w:rFonts w:asciiTheme="majorHAnsi" w:hAnsiTheme="majorHAnsi" w:cstheme="majorHAnsi"/>
          <w:sz w:val="24"/>
          <w:szCs w:val="24"/>
        </w:rPr>
      </w:pPr>
      <w:r w:rsidRPr="00E3754C">
        <w:rPr>
          <w:rFonts w:asciiTheme="majorHAnsi" w:hAnsiTheme="majorHAnsi" w:cstheme="majorHAnsi"/>
          <w:sz w:val="24"/>
          <w:szCs w:val="24"/>
        </w:rPr>
        <w:lastRenderedPageBreak/>
        <w:t>KYC</w:t>
      </w:r>
    </w:p>
    <w:p w14:paraId="151E3387" w14:textId="77777777" w:rsidR="00865130" w:rsidRPr="00E3754C" w:rsidRDefault="00865130" w:rsidP="00865130">
      <w:pPr>
        <w:pStyle w:val="NormalnyWeb"/>
        <w:spacing w:before="0" w:beforeAutospacing="0" w:after="240" w:afterAutospacing="0" w:line="343" w:lineRule="atLeast"/>
        <w:ind w:left="708"/>
        <w:jc w:val="both"/>
        <w:rPr>
          <w:rFonts w:asciiTheme="majorHAnsi" w:hAnsiTheme="majorHAnsi" w:cstheme="majorHAnsi"/>
        </w:rPr>
      </w:pPr>
      <w:r w:rsidRPr="00E3754C">
        <w:rPr>
          <w:rFonts w:asciiTheme="majorHAnsi" w:hAnsiTheme="majorHAnsi" w:cstheme="majorHAnsi"/>
        </w:rPr>
        <w:t>Polityka KYC (</w:t>
      </w:r>
      <w:proofErr w:type="spellStart"/>
      <w:r w:rsidRPr="00E3754C">
        <w:rPr>
          <w:rFonts w:asciiTheme="majorHAnsi" w:hAnsiTheme="majorHAnsi" w:cstheme="majorHAnsi"/>
        </w:rPr>
        <w:t>Know</w:t>
      </w:r>
      <w:proofErr w:type="spellEnd"/>
      <w:r w:rsidRPr="00E3754C">
        <w:rPr>
          <w:rFonts w:asciiTheme="majorHAnsi" w:hAnsiTheme="majorHAnsi" w:cstheme="majorHAnsi"/>
        </w:rPr>
        <w:t xml:space="preserve"> </w:t>
      </w:r>
      <w:proofErr w:type="spellStart"/>
      <w:r w:rsidRPr="00E3754C">
        <w:rPr>
          <w:rFonts w:asciiTheme="majorHAnsi" w:hAnsiTheme="majorHAnsi" w:cstheme="majorHAnsi"/>
        </w:rPr>
        <w:t>Your</w:t>
      </w:r>
      <w:proofErr w:type="spellEnd"/>
      <w:r w:rsidRPr="00E3754C">
        <w:rPr>
          <w:rFonts w:asciiTheme="majorHAnsi" w:hAnsiTheme="majorHAnsi" w:cstheme="majorHAnsi"/>
        </w:rPr>
        <w:t xml:space="preserve"> </w:t>
      </w:r>
      <w:proofErr w:type="spellStart"/>
      <w:r w:rsidRPr="00E3754C">
        <w:rPr>
          <w:rFonts w:asciiTheme="majorHAnsi" w:hAnsiTheme="majorHAnsi" w:cstheme="majorHAnsi"/>
        </w:rPr>
        <w:t>Customer</w:t>
      </w:r>
      <w:proofErr w:type="spellEnd"/>
      <w:r w:rsidRPr="00E3754C">
        <w:rPr>
          <w:rFonts w:asciiTheme="majorHAnsi" w:hAnsiTheme="majorHAnsi" w:cstheme="majorHAnsi"/>
        </w:rPr>
        <w:t>) – w Polsce znana jako Poznaj Swojego Klienta (PSK) – to zgodnie z definicją procedura należytej staranności oraz regulacja bankowa, którą muszą przeprowadzać instytucje finansowe oraz inne prawnie określone podmioty do zidentyfikowania swoich klientów i uzyskania pewnych, odpowiednich oraz trafnych informacji wymaganych do prowadzenia interesów ze stroną zainteresowaną.</w:t>
      </w:r>
    </w:p>
    <w:p w14:paraId="42AB6BB4" w14:textId="77777777" w:rsidR="00865130" w:rsidRPr="00E3754C" w:rsidRDefault="00865130" w:rsidP="00865130">
      <w:pPr>
        <w:spacing w:after="240" w:line="343" w:lineRule="atLeast"/>
        <w:jc w:val="both"/>
        <w:rPr>
          <w:rFonts w:asciiTheme="majorHAnsi" w:eastAsia="Times New Roman" w:hAnsiTheme="majorHAnsi" w:cstheme="majorHAnsi"/>
          <w:b/>
          <w:bCs/>
          <w:sz w:val="24"/>
          <w:szCs w:val="24"/>
          <w:lang w:eastAsia="pl-PL"/>
        </w:rPr>
      </w:pPr>
      <w:r w:rsidRPr="00E3754C">
        <w:rPr>
          <w:rFonts w:asciiTheme="majorHAnsi" w:eastAsia="Times New Roman" w:hAnsiTheme="majorHAnsi" w:cstheme="majorHAnsi"/>
          <w:b/>
          <w:bCs/>
          <w:sz w:val="24"/>
          <w:szCs w:val="24"/>
          <w:lang w:eastAsia="pl-PL"/>
        </w:rPr>
        <w:t>Obligacja</w:t>
      </w:r>
    </w:p>
    <w:p w14:paraId="454FB1EE" w14:textId="77777777" w:rsidR="00865130" w:rsidRPr="00E3754C" w:rsidRDefault="00865130" w:rsidP="00865130">
      <w:pPr>
        <w:spacing w:after="240" w:line="343" w:lineRule="atLeast"/>
        <w:ind w:left="708"/>
        <w:jc w:val="both"/>
        <w:rPr>
          <w:rFonts w:asciiTheme="majorHAnsi" w:eastAsia="Times New Roman" w:hAnsiTheme="majorHAnsi" w:cstheme="majorHAnsi"/>
          <w:sz w:val="24"/>
          <w:szCs w:val="24"/>
          <w:lang w:eastAsia="pl-PL"/>
        </w:rPr>
      </w:pPr>
      <w:r w:rsidRPr="00E3754C">
        <w:rPr>
          <w:rFonts w:asciiTheme="majorHAnsi" w:eastAsia="Times New Roman" w:hAnsiTheme="majorHAnsi" w:cstheme="majorHAnsi"/>
          <w:sz w:val="24"/>
          <w:szCs w:val="24"/>
          <w:lang w:eastAsia="pl-PL"/>
        </w:rPr>
        <w:t>Papier wartościowy będący potwierdzeniem wierzytelności podmiotu wydającego obligację (emitenta) wobec jej nabywcy (obligatariusza). Wierzytelność ta może posiadać charakter pieniężny lub niepieniężny, przy czym spełniana jest przez emitenta po upływie określonego czasu tzw. terminu zapadalności.</w:t>
      </w:r>
    </w:p>
    <w:p w14:paraId="1D69D3A0" w14:textId="77777777" w:rsidR="00865130" w:rsidRPr="00E3754C" w:rsidRDefault="00865130" w:rsidP="00865130">
      <w:pPr>
        <w:spacing w:after="240" w:line="343" w:lineRule="atLeast"/>
        <w:jc w:val="both"/>
        <w:rPr>
          <w:rFonts w:asciiTheme="majorHAnsi" w:eastAsia="Times New Roman" w:hAnsiTheme="majorHAnsi" w:cstheme="majorHAnsi"/>
          <w:b/>
          <w:bCs/>
          <w:sz w:val="24"/>
          <w:szCs w:val="24"/>
          <w:lang w:eastAsia="pl-PL"/>
        </w:rPr>
      </w:pPr>
      <w:r w:rsidRPr="00E3754C">
        <w:rPr>
          <w:rFonts w:asciiTheme="majorHAnsi" w:eastAsia="Times New Roman" w:hAnsiTheme="majorHAnsi" w:cstheme="majorHAnsi"/>
          <w:b/>
          <w:bCs/>
          <w:sz w:val="24"/>
          <w:szCs w:val="24"/>
          <w:lang w:eastAsia="pl-PL"/>
        </w:rPr>
        <w:t xml:space="preserve">Oprocentowanie </w:t>
      </w:r>
      <w:proofErr w:type="spellStart"/>
      <w:r w:rsidRPr="00E3754C">
        <w:rPr>
          <w:rFonts w:asciiTheme="majorHAnsi" w:eastAsia="Times New Roman" w:hAnsiTheme="majorHAnsi" w:cstheme="majorHAnsi"/>
          <w:b/>
          <w:bCs/>
          <w:sz w:val="24"/>
          <w:szCs w:val="24"/>
          <w:lang w:eastAsia="pl-PL"/>
        </w:rPr>
        <w:t>nominlane</w:t>
      </w:r>
      <w:proofErr w:type="spellEnd"/>
    </w:p>
    <w:p w14:paraId="7FE864A2" w14:textId="77777777" w:rsidR="00865130" w:rsidRPr="00E3754C" w:rsidRDefault="00865130" w:rsidP="00865130">
      <w:pPr>
        <w:spacing w:after="240" w:line="343" w:lineRule="atLeast"/>
        <w:ind w:left="708"/>
        <w:jc w:val="both"/>
        <w:rPr>
          <w:rFonts w:asciiTheme="majorHAnsi" w:eastAsia="Times New Roman" w:hAnsiTheme="majorHAnsi" w:cstheme="majorHAnsi"/>
          <w:sz w:val="24"/>
          <w:szCs w:val="24"/>
          <w:lang w:eastAsia="pl-PL"/>
        </w:rPr>
      </w:pPr>
      <w:r w:rsidRPr="00E3754C">
        <w:rPr>
          <w:rFonts w:asciiTheme="majorHAnsi" w:hAnsiTheme="majorHAnsi" w:cstheme="majorHAnsi"/>
          <w:color w:val="3C3C3C"/>
          <w:sz w:val="24"/>
          <w:szCs w:val="24"/>
          <w:shd w:val="clear" w:color="auto" w:fill="FFFFFF"/>
        </w:rPr>
        <w:t>Wartość procentowa, podawana w skali roku, ukazująca stopę oprocentowania. To według niej określa się naliczane odsetki od przekazanego kapitału.</w:t>
      </w:r>
    </w:p>
    <w:p w14:paraId="11698DF2" w14:textId="77777777" w:rsidR="00865130" w:rsidRPr="00E3754C" w:rsidRDefault="00865130" w:rsidP="00865130">
      <w:pPr>
        <w:pStyle w:val="Nagwek3"/>
        <w:shd w:val="clear" w:color="auto" w:fill="FFFFFF"/>
        <w:spacing w:before="0" w:beforeAutospacing="0" w:after="0" w:afterAutospacing="0"/>
        <w:jc w:val="both"/>
        <w:textAlignment w:val="baseline"/>
        <w:rPr>
          <w:rFonts w:asciiTheme="majorHAnsi" w:hAnsiTheme="majorHAnsi" w:cstheme="majorHAnsi"/>
          <w:sz w:val="24"/>
          <w:szCs w:val="24"/>
        </w:rPr>
      </w:pPr>
      <w:hyperlink r:id="rId7" w:history="1">
        <w:r w:rsidRPr="00E3754C">
          <w:rPr>
            <w:rFonts w:asciiTheme="majorHAnsi" w:hAnsiTheme="majorHAnsi" w:cstheme="majorHAnsi"/>
            <w:sz w:val="24"/>
            <w:szCs w:val="24"/>
          </w:rPr>
          <w:t>Opcja walutowa</w:t>
        </w:r>
      </w:hyperlink>
    </w:p>
    <w:p w14:paraId="19773064" w14:textId="77777777" w:rsidR="00865130" w:rsidRPr="00E3754C" w:rsidRDefault="00865130" w:rsidP="00865130">
      <w:pPr>
        <w:pStyle w:val="NormalnyWeb"/>
        <w:shd w:val="clear" w:color="auto" w:fill="FFFFFF"/>
        <w:spacing w:before="0" w:beforeAutospacing="0" w:after="0" w:afterAutospacing="0"/>
        <w:jc w:val="both"/>
        <w:textAlignment w:val="baseline"/>
        <w:rPr>
          <w:rFonts w:asciiTheme="majorHAnsi" w:eastAsiaTheme="minorHAnsi" w:hAnsiTheme="majorHAnsi" w:cstheme="majorHAnsi"/>
          <w:color w:val="3C3C3C"/>
          <w:shd w:val="clear" w:color="auto" w:fill="FFFFFF"/>
          <w:lang w:eastAsia="en-US"/>
        </w:rPr>
      </w:pPr>
    </w:p>
    <w:p w14:paraId="0C883E01" w14:textId="77777777" w:rsidR="00865130" w:rsidRPr="00E3754C" w:rsidRDefault="00865130" w:rsidP="00865130">
      <w:pPr>
        <w:pStyle w:val="NormalnyWeb"/>
        <w:shd w:val="clear" w:color="auto" w:fill="FFFFFF"/>
        <w:spacing w:before="0" w:beforeAutospacing="0" w:after="0" w:afterAutospacing="0"/>
        <w:ind w:left="708"/>
        <w:jc w:val="both"/>
        <w:textAlignment w:val="baseline"/>
        <w:rPr>
          <w:rFonts w:asciiTheme="majorHAnsi" w:eastAsiaTheme="minorHAnsi" w:hAnsiTheme="majorHAnsi" w:cstheme="majorHAnsi"/>
          <w:color w:val="3C3C3C"/>
          <w:shd w:val="clear" w:color="auto" w:fill="FFFFFF"/>
          <w:lang w:eastAsia="en-US"/>
        </w:rPr>
      </w:pPr>
      <w:r w:rsidRPr="00E3754C">
        <w:rPr>
          <w:rFonts w:asciiTheme="majorHAnsi" w:eastAsiaTheme="minorHAnsi" w:hAnsiTheme="majorHAnsi" w:cstheme="majorHAnsi"/>
          <w:color w:val="3C3C3C"/>
          <w:shd w:val="clear" w:color="auto" w:fill="FFFFFF"/>
          <w:lang w:eastAsia="en-US"/>
        </w:rPr>
        <w:t>To umowa łącząca najczęściej bank lub inną instytucje finansową oraz kupującego, której założeniem jest ustalenie stałego w danym okresie czasu kursu sprzedaży walut. W zamian za określone w umowie opcji wynagrodzenie, instytucja finansowa zobowiązuje się więc do sprzedaży waluty kupującemu po ściśle określonym kursie bazowym, nawet jeśli w czasie od podpisania umowy uległ on znacznym zmianom, co w praktyce czyni to narzędzie elementem pozwalającym minimalizować niekorzystny wpływ ryzyka walutowego.</w:t>
      </w:r>
    </w:p>
    <w:p w14:paraId="61BF5F63" w14:textId="77777777" w:rsidR="00865130" w:rsidRPr="00E3754C" w:rsidRDefault="00865130" w:rsidP="00865130">
      <w:pPr>
        <w:pStyle w:val="Nagwek3"/>
        <w:spacing w:line="308" w:lineRule="atLeast"/>
        <w:jc w:val="both"/>
        <w:rPr>
          <w:rFonts w:asciiTheme="majorHAnsi" w:hAnsiTheme="majorHAnsi" w:cstheme="majorHAnsi"/>
          <w:sz w:val="24"/>
          <w:szCs w:val="24"/>
        </w:rPr>
      </w:pPr>
      <w:r w:rsidRPr="00E3754C">
        <w:rPr>
          <w:rFonts w:asciiTheme="majorHAnsi" w:hAnsiTheme="majorHAnsi" w:cstheme="majorHAnsi"/>
          <w:sz w:val="24"/>
          <w:szCs w:val="24"/>
        </w:rPr>
        <w:t>Papiery wartościowe</w:t>
      </w:r>
    </w:p>
    <w:p w14:paraId="05BB4D8F" w14:textId="77777777" w:rsidR="00865130" w:rsidRPr="00E3754C" w:rsidRDefault="00865130" w:rsidP="00865130">
      <w:pPr>
        <w:pStyle w:val="Nagwek3"/>
        <w:spacing w:line="308" w:lineRule="atLeast"/>
        <w:ind w:left="708"/>
        <w:jc w:val="both"/>
        <w:rPr>
          <w:rFonts w:asciiTheme="majorHAnsi" w:hAnsiTheme="majorHAnsi" w:cstheme="majorHAnsi"/>
          <w:b w:val="0"/>
          <w:bCs w:val="0"/>
          <w:sz w:val="24"/>
          <w:szCs w:val="24"/>
        </w:rPr>
      </w:pPr>
      <w:r w:rsidRPr="00E3754C">
        <w:rPr>
          <w:rFonts w:asciiTheme="majorHAnsi" w:hAnsiTheme="majorHAnsi" w:cstheme="majorHAnsi"/>
          <w:b w:val="0"/>
          <w:bCs w:val="0"/>
          <w:sz w:val="24"/>
          <w:szCs w:val="24"/>
        </w:rPr>
        <w:t>Dokumenty, których posiadanie powiązane jest z nabyciem określonego prawa majątkowego. Do najczęściej spotykanych papierów wartościowych nalezą akcje, obligacje, weksle, banknoty, czeki oraz bony skarbowe. Emitowane przez przedsiębiorstwa są narzędziem finansowania ich bieżącej działalności, szczególnie działań inwestycyjnych.</w:t>
      </w:r>
    </w:p>
    <w:p w14:paraId="7D9B0C56" w14:textId="77777777" w:rsidR="00865130" w:rsidRPr="00E3754C" w:rsidRDefault="00865130" w:rsidP="00865130">
      <w:pPr>
        <w:pStyle w:val="Nagwek3"/>
        <w:spacing w:line="308" w:lineRule="atLeast"/>
        <w:jc w:val="both"/>
        <w:rPr>
          <w:rFonts w:asciiTheme="majorHAnsi" w:hAnsiTheme="majorHAnsi" w:cstheme="majorHAnsi"/>
          <w:sz w:val="24"/>
          <w:szCs w:val="24"/>
        </w:rPr>
      </w:pPr>
      <w:r w:rsidRPr="00E3754C">
        <w:rPr>
          <w:rFonts w:asciiTheme="majorHAnsi" w:hAnsiTheme="majorHAnsi" w:cstheme="majorHAnsi"/>
          <w:sz w:val="24"/>
          <w:szCs w:val="24"/>
        </w:rPr>
        <w:t>Płynność finansowa</w:t>
      </w:r>
    </w:p>
    <w:p w14:paraId="40353195" w14:textId="77777777" w:rsidR="00865130" w:rsidRPr="00E3754C" w:rsidRDefault="00865130" w:rsidP="00865130">
      <w:pPr>
        <w:pStyle w:val="Nagwek3"/>
        <w:spacing w:line="308" w:lineRule="atLeast"/>
        <w:ind w:left="708"/>
        <w:jc w:val="both"/>
        <w:rPr>
          <w:rFonts w:asciiTheme="majorHAnsi" w:hAnsiTheme="majorHAnsi" w:cstheme="majorHAnsi"/>
          <w:b w:val="0"/>
          <w:bCs w:val="0"/>
          <w:sz w:val="24"/>
          <w:szCs w:val="24"/>
        </w:rPr>
      </w:pPr>
      <w:r w:rsidRPr="00E3754C">
        <w:rPr>
          <w:rFonts w:asciiTheme="majorHAnsi" w:hAnsiTheme="majorHAnsi" w:cstheme="majorHAnsi"/>
          <w:b w:val="0"/>
          <w:bCs w:val="0"/>
          <w:sz w:val="24"/>
          <w:szCs w:val="24"/>
        </w:rPr>
        <w:t>Zdolność do terminowego regulowania rat kredytów, pożyczek i innych krótkoterminowych zobowiązań. Zarządzanie płynnością finansową ma na celu utrzymywanie odpowiedniej ilości środków pieniężnych na terminowe realizowanie spłat zobowiązań. Brak płynności finansowej może doprowadzić do nadmiernego zadłużenia, a także do upadłości konsumenckiej.</w:t>
      </w:r>
    </w:p>
    <w:p w14:paraId="53BC0229" w14:textId="77777777" w:rsidR="00865130" w:rsidRPr="00E3754C" w:rsidRDefault="00865130" w:rsidP="00865130">
      <w:pPr>
        <w:pStyle w:val="Nagwek3"/>
        <w:spacing w:line="308" w:lineRule="atLeast"/>
        <w:jc w:val="both"/>
        <w:rPr>
          <w:rFonts w:asciiTheme="majorHAnsi" w:hAnsiTheme="majorHAnsi" w:cstheme="majorHAnsi"/>
          <w:sz w:val="24"/>
          <w:szCs w:val="24"/>
        </w:rPr>
      </w:pPr>
      <w:r w:rsidRPr="00E3754C">
        <w:rPr>
          <w:rFonts w:asciiTheme="majorHAnsi" w:hAnsiTheme="majorHAnsi" w:cstheme="majorHAnsi"/>
          <w:sz w:val="24"/>
          <w:szCs w:val="24"/>
        </w:rPr>
        <w:lastRenderedPageBreak/>
        <w:t>Podatek od zysków kapitałowych</w:t>
      </w:r>
    </w:p>
    <w:p w14:paraId="6EABC159" w14:textId="77777777" w:rsidR="00865130" w:rsidRPr="00E3754C" w:rsidRDefault="00865130" w:rsidP="00865130">
      <w:pPr>
        <w:pStyle w:val="Nagwek3"/>
        <w:spacing w:line="308" w:lineRule="atLeast"/>
        <w:ind w:left="708"/>
        <w:jc w:val="both"/>
        <w:rPr>
          <w:rFonts w:asciiTheme="majorHAnsi" w:hAnsiTheme="majorHAnsi" w:cstheme="majorHAnsi"/>
          <w:b w:val="0"/>
          <w:bCs w:val="0"/>
          <w:sz w:val="24"/>
          <w:szCs w:val="24"/>
        </w:rPr>
      </w:pPr>
      <w:r w:rsidRPr="00E3754C">
        <w:rPr>
          <w:rFonts w:asciiTheme="majorHAnsi" w:hAnsiTheme="majorHAnsi" w:cstheme="majorHAnsi"/>
          <w:b w:val="0"/>
          <w:bCs w:val="0"/>
          <w:sz w:val="24"/>
          <w:szCs w:val="24"/>
        </w:rPr>
        <w:t>Zwany podatkiem Belki, to podatek dochodowy od osób fizycznych należy w wysokości 19% w przypadku uzyskania przychodów z kapitałów pieniężnych, w tym miedzy innymi odsetek kont oszczędnościowych, zysków z tytułu udziału w funduszach kapitałowych, sprzedaży papierów wartościowych i udziałów w spółkach.</w:t>
      </w:r>
    </w:p>
    <w:p w14:paraId="4E256719" w14:textId="77777777" w:rsidR="00865130" w:rsidRPr="00E3754C" w:rsidRDefault="00865130" w:rsidP="00865130">
      <w:pPr>
        <w:pStyle w:val="Nagwek3"/>
        <w:shd w:val="clear" w:color="auto" w:fill="FFFFFF"/>
        <w:spacing w:after="0"/>
        <w:jc w:val="both"/>
        <w:textAlignment w:val="baseline"/>
        <w:rPr>
          <w:rFonts w:asciiTheme="majorHAnsi" w:hAnsiTheme="majorHAnsi" w:cstheme="majorHAnsi"/>
          <w:sz w:val="24"/>
          <w:szCs w:val="24"/>
        </w:rPr>
      </w:pPr>
      <w:r w:rsidRPr="00E3754C">
        <w:rPr>
          <w:rFonts w:asciiTheme="majorHAnsi" w:hAnsiTheme="majorHAnsi" w:cstheme="majorHAnsi"/>
          <w:sz w:val="24"/>
          <w:szCs w:val="24"/>
        </w:rPr>
        <w:t>Prospekt Informacyjny</w:t>
      </w:r>
    </w:p>
    <w:p w14:paraId="0BF0F5FD" w14:textId="77777777" w:rsidR="00865130" w:rsidRPr="00E3754C" w:rsidRDefault="00865130" w:rsidP="00865130">
      <w:pPr>
        <w:pStyle w:val="Nagwek3"/>
        <w:shd w:val="clear" w:color="auto" w:fill="FFFFFF"/>
        <w:spacing w:before="0" w:beforeAutospacing="0" w:after="0" w:afterAutospacing="0"/>
        <w:ind w:left="708"/>
        <w:jc w:val="both"/>
        <w:textAlignment w:val="baseline"/>
        <w:rPr>
          <w:rFonts w:asciiTheme="majorHAnsi" w:hAnsiTheme="majorHAnsi" w:cstheme="majorHAnsi"/>
          <w:b w:val="0"/>
          <w:bCs w:val="0"/>
          <w:sz w:val="24"/>
          <w:szCs w:val="24"/>
        </w:rPr>
      </w:pPr>
      <w:r w:rsidRPr="00E3754C">
        <w:rPr>
          <w:rFonts w:asciiTheme="majorHAnsi" w:hAnsiTheme="majorHAnsi" w:cstheme="majorHAnsi"/>
          <w:b w:val="0"/>
          <w:bCs w:val="0"/>
          <w:sz w:val="24"/>
          <w:szCs w:val="24"/>
        </w:rPr>
        <w:t>Dokument prawny opisujący zasady działalności funduszu inwestycyjnego otwartego lub specjalistycznego funduszu inwestycyjnego otwartego. Zawiera wszystkie szczegółowe informacje o funduszu i sposobie jego działania. Prospekt zawiera statut funduszu, oświadczenie podmiotu uprawnionego do badania sprawozdań finansowych o zgodności metod i zasad wycen aktywów, odniesienie się do ewentualnych zmian w tym zakresie oraz informacje niezbędne do oceny ryzyka inwestycyjnego.</w:t>
      </w:r>
    </w:p>
    <w:p w14:paraId="36199E76" w14:textId="77777777" w:rsidR="00865130" w:rsidRPr="00E3754C" w:rsidRDefault="00865130" w:rsidP="00865130">
      <w:pPr>
        <w:pStyle w:val="Nagwek3"/>
        <w:shd w:val="clear" w:color="auto" w:fill="FFFFFF"/>
        <w:spacing w:before="0" w:beforeAutospacing="0" w:after="0" w:afterAutospacing="0"/>
        <w:jc w:val="both"/>
        <w:textAlignment w:val="baseline"/>
        <w:rPr>
          <w:rFonts w:asciiTheme="majorHAnsi" w:hAnsiTheme="majorHAnsi" w:cstheme="majorHAnsi"/>
          <w:sz w:val="24"/>
          <w:szCs w:val="24"/>
        </w:rPr>
      </w:pPr>
    </w:p>
    <w:p w14:paraId="0FE0ED83" w14:textId="77777777" w:rsidR="00865130" w:rsidRPr="00E3754C" w:rsidRDefault="00865130" w:rsidP="00865130">
      <w:pPr>
        <w:pStyle w:val="Nagwek3"/>
        <w:shd w:val="clear" w:color="auto" w:fill="FFFFFF"/>
        <w:spacing w:after="0"/>
        <w:jc w:val="both"/>
        <w:textAlignment w:val="baseline"/>
        <w:rPr>
          <w:rFonts w:asciiTheme="majorHAnsi" w:hAnsiTheme="majorHAnsi" w:cstheme="majorHAnsi"/>
          <w:sz w:val="24"/>
          <w:szCs w:val="24"/>
        </w:rPr>
      </w:pPr>
      <w:r w:rsidRPr="00E3754C">
        <w:rPr>
          <w:rFonts w:asciiTheme="majorHAnsi" w:hAnsiTheme="majorHAnsi" w:cstheme="majorHAnsi"/>
          <w:sz w:val="24"/>
          <w:szCs w:val="24"/>
        </w:rPr>
        <w:t xml:space="preserve">Rada </w:t>
      </w:r>
      <w:proofErr w:type="spellStart"/>
      <w:r w:rsidRPr="00E3754C">
        <w:rPr>
          <w:rFonts w:asciiTheme="majorHAnsi" w:hAnsiTheme="majorHAnsi" w:cstheme="majorHAnsi"/>
          <w:sz w:val="24"/>
          <w:szCs w:val="24"/>
        </w:rPr>
        <w:t>Inwerstorów</w:t>
      </w:r>
      <w:proofErr w:type="spellEnd"/>
    </w:p>
    <w:p w14:paraId="4304697F" w14:textId="77777777" w:rsidR="00865130" w:rsidRPr="00E3754C" w:rsidRDefault="00865130" w:rsidP="00865130">
      <w:pPr>
        <w:pStyle w:val="Nagwek3"/>
        <w:shd w:val="clear" w:color="auto" w:fill="FFFFFF"/>
        <w:spacing w:before="0" w:beforeAutospacing="0" w:after="0" w:afterAutospacing="0"/>
        <w:ind w:left="708"/>
        <w:jc w:val="both"/>
        <w:textAlignment w:val="baseline"/>
        <w:rPr>
          <w:rFonts w:asciiTheme="majorHAnsi" w:hAnsiTheme="majorHAnsi" w:cstheme="majorHAnsi"/>
          <w:b w:val="0"/>
          <w:bCs w:val="0"/>
          <w:sz w:val="24"/>
          <w:szCs w:val="24"/>
        </w:rPr>
      </w:pPr>
      <w:r w:rsidRPr="00E3754C">
        <w:rPr>
          <w:rFonts w:asciiTheme="majorHAnsi" w:hAnsiTheme="majorHAnsi" w:cstheme="majorHAnsi"/>
          <w:b w:val="0"/>
          <w:bCs w:val="0"/>
          <w:sz w:val="24"/>
          <w:szCs w:val="24"/>
        </w:rPr>
        <w:t>Organ kontrolny, który może być powołany w specjalistycznym funduszu inwestycyjnym otwartym (SFIO) lub funduszu inwestycyjnym zamkniętym (FIZ). Członkiem rady inwestorów może być uczestnik funduszu reprezentujący co najmniej 5% ogólnej liczby jednostek uczestnictwa lub certyfikatów inwestycyjnych. Rada inwestorów kontroluje realizację celu inwestycyjnego funduszu i polityki inwestycyjnej oraz przestrzeganie ograniczeń inwestycyjnych. W tym celu członkowie rady inwestorów mogą przeglądać księgi i dokumenty funduszu oraz żądać wyjaśnień od towarzystwa. Statut funduszu może rozszerzyć uprawnienia rady inwestorów.</w:t>
      </w:r>
    </w:p>
    <w:p w14:paraId="1B4FFBBD" w14:textId="77777777" w:rsidR="00865130" w:rsidRPr="00E3754C" w:rsidRDefault="00865130" w:rsidP="00865130">
      <w:pPr>
        <w:pStyle w:val="Nagwek3"/>
        <w:shd w:val="clear" w:color="auto" w:fill="FFFFFF"/>
        <w:spacing w:before="0" w:beforeAutospacing="0" w:after="0" w:afterAutospacing="0"/>
        <w:jc w:val="both"/>
        <w:textAlignment w:val="baseline"/>
        <w:rPr>
          <w:rFonts w:asciiTheme="majorHAnsi" w:hAnsiTheme="majorHAnsi" w:cstheme="majorHAnsi"/>
          <w:sz w:val="24"/>
          <w:szCs w:val="24"/>
        </w:rPr>
      </w:pPr>
    </w:p>
    <w:p w14:paraId="667949E4" w14:textId="77777777" w:rsidR="00865130" w:rsidRPr="00E3754C" w:rsidRDefault="00865130" w:rsidP="00865130">
      <w:pPr>
        <w:pStyle w:val="Nagwek3"/>
        <w:shd w:val="clear" w:color="auto" w:fill="FFFFFF"/>
        <w:spacing w:after="0"/>
        <w:jc w:val="both"/>
        <w:textAlignment w:val="baseline"/>
        <w:rPr>
          <w:rFonts w:asciiTheme="majorHAnsi" w:hAnsiTheme="majorHAnsi" w:cstheme="majorHAnsi"/>
          <w:sz w:val="24"/>
          <w:szCs w:val="24"/>
        </w:rPr>
      </w:pPr>
      <w:r w:rsidRPr="00E3754C">
        <w:rPr>
          <w:rFonts w:asciiTheme="majorHAnsi" w:hAnsiTheme="majorHAnsi" w:cstheme="majorHAnsi"/>
          <w:sz w:val="24"/>
          <w:szCs w:val="24"/>
        </w:rPr>
        <w:t>Ryzyko Inwestycyjne</w:t>
      </w:r>
    </w:p>
    <w:p w14:paraId="56148D90" w14:textId="77777777" w:rsidR="00865130" w:rsidRPr="00E3754C" w:rsidRDefault="00865130" w:rsidP="00865130">
      <w:pPr>
        <w:pStyle w:val="Nagwek3"/>
        <w:shd w:val="clear" w:color="auto" w:fill="FFFFFF"/>
        <w:spacing w:before="0" w:beforeAutospacing="0" w:after="0" w:afterAutospacing="0"/>
        <w:ind w:left="708"/>
        <w:jc w:val="both"/>
        <w:textAlignment w:val="baseline"/>
        <w:rPr>
          <w:rFonts w:asciiTheme="majorHAnsi" w:hAnsiTheme="majorHAnsi" w:cstheme="majorHAnsi"/>
          <w:b w:val="0"/>
          <w:bCs w:val="0"/>
          <w:sz w:val="24"/>
          <w:szCs w:val="24"/>
        </w:rPr>
      </w:pPr>
      <w:r w:rsidRPr="00E3754C">
        <w:rPr>
          <w:rFonts w:asciiTheme="majorHAnsi" w:hAnsiTheme="majorHAnsi" w:cstheme="majorHAnsi"/>
          <w:b w:val="0"/>
          <w:bCs w:val="0"/>
          <w:sz w:val="24"/>
          <w:szCs w:val="24"/>
        </w:rPr>
        <w:t xml:space="preserve">Ryzyko związane z lokowaniem środków. Każdy fundusz ma wskazane ryzyka, które go charakteryzują ze względu na sposób lokowania środków i charakter aktywów, w które inwestuje. Szczegółowy opis </w:t>
      </w:r>
      <w:proofErr w:type="spellStart"/>
      <w:r w:rsidRPr="00E3754C">
        <w:rPr>
          <w:rFonts w:asciiTheme="majorHAnsi" w:hAnsiTheme="majorHAnsi" w:cstheme="majorHAnsi"/>
          <w:b w:val="0"/>
          <w:bCs w:val="0"/>
          <w:sz w:val="24"/>
          <w:szCs w:val="24"/>
        </w:rPr>
        <w:t>ryzyk</w:t>
      </w:r>
      <w:proofErr w:type="spellEnd"/>
      <w:r w:rsidRPr="00E3754C">
        <w:rPr>
          <w:rFonts w:asciiTheme="majorHAnsi" w:hAnsiTheme="majorHAnsi" w:cstheme="majorHAnsi"/>
          <w:b w:val="0"/>
          <w:bCs w:val="0"/>
          <w:sz w:val="24"/>
          <w:szCs w:val="24"/>
        </w:rPr>
        <w:t xml:space="preserve"> znajduje się w Prospekcie każdego funduszu.</w:t>
      </w:r>
    </w:p>
    <w:p w14:paraId="6D87B011" w14:textId="77777777" w:rsidR="00865130" w:rsidRPr="00E3754C" w:rsidRDefault="00865130" w:rsidP="00865130">
      <w:pPr>
        <w:pStyle w:val="Nagwek3"/>
        <w:shd w:val="clear" w:color="auto" w:fill="FFFFFF"/>
        <w:spacing w:before="0" w:beforeAutospacing="0" w:after="0" w:afterAutospacing="0"/>
        <w:jc w:val="both"/>
        <w:textAlignment w:val="baseline"/>
        <w:rPr>
          <w:rFonts w:asciiTheme="majorHAnsi" w:hAnsiTheme="majorHAnsi" w:cstheme="majorHAnsi"/>
          <w:sz w:val="24"/>
          <w:szCs w:val="24"/>
        </w:rPr>
      </w:pPr>
    </w:p>
    <w:p w14:paraId="097A6574" w14:textId="77777777" w:rsidR="00865130" w:rsidRPr="00E3754C" w:rsidRDefault="00865130" w:rsidP="00865130">
      <w:pPr>
        <w:pStyle w:val="Nagwek3"/>
        <w:shd w:val="clear" w:color="auto" w:fill="FFFFFF"/>
        <w:spacing w:before="0" w:beforeAutospacing="0" w:after="0" w:afterAutospacing="0"/>
        <w:jc w:val="both"/>
        <w:textAlignment w:val="baseline"/>
        <w:rPr>
          <w:rFonts w:asciiTheme="majorHAnsi" w:hAnsiTheme="majorHAnsi" w:cstheme="majorHAnsi"/>
          <w:sz w:val="24"/>
          <w:szCs w:val="24"/>
        </w:rPr>
      </w:pPr>
      <w:hyperlink r:id="rId8" w:history="1">
        <w:r w:rsidRPr="00E3754C">
          <w:rPr>
            <w:rFonts w:asciiTheme="majorHAnsi" w:hAnsiTheme="majorHAnsi" w:cstheme="majorHAnsi"/>
            <w:sz w:val="24"/>
            <w:szCs w:val="24"/>
          </w:rPr>
          <w:t>Ryzyko kursowe</w:t>
        </w:r>
      </w:hyperlink>
    </w:p>
    <w:p w14:paraId="3792CE8F" w14:textId="77777777" w:rsidR="00865130" w:rsidRPr="00E3754C" w:rsidRDefault="00865130" w:rsidP="00865130">
      <w:pPr>
        <w:pStyle w:val="Nagwek3"/>
        <w:shd w:val="clear" w:color="auto" w:fill="FFFFFF"/>
        <w:spacing w:before="0" w:beforeAutospacing="0" w:after="0" w:afterAutospacing="0"/>
        <w:jc w:val="both"/>
        <w:textAlignment w:val="baseline"/>
        <w:rPr>
          <w:rFonts w:asciiTheme="majorHAnsi" w:hAnsiTheme="majorHAnsi" w:cstheme="majorHAnsi"/>
          <w:sz w:val="24"/>
          <w:szCs w:val="24"/>
        </w:rPr>
      </w:pPr>
    </w:p>
    <w:p w14:paraId="160B1F5D" w14:textId="77777777" w:rsidR="00865130" w:rsidRPr="00E3754C" w:rsidRDefault="00865130" w:rsidP="00865130">
      <w:pPr>
        <w:pStyle w:val="NormalnyWeb"/>
        <w:shd w:val="clear" w:color="auto" w:fill="FFFFFF"/>
        <w:spacing w:before="0" w:beforeAutospacing="0" w:after="0" w:afterAutospacing="0"/>
        <w:ind w:left="708"/>
        <w:jc w:val="both"/>
        <w:textAlignment w:val="baseline"/>
        <w:rPr>
          <w:rFonts w:asciiTheme="majorHAnsi" w:hAnsiTheme="majorHAnsi" w:cstheme="majorHAnsi"/>
        </w:rPr>
      </w:pPr>
      <w:r w:rsidRPr="00E3754C">
        <w:rPr>
          <w:rFonts w:asciiTheme="majorHAnsi" w:hAnsiTheme="majorHAnsi" w:cstheme="majorHAnsi"/>
        </w:rPr>
        <w:t xml:space="preserve">To możliwość odnotowania strat lub zysków finansowych powiązanych z posiadaniem zobowiązania w walucie obcej. To tym samym ryzyko posiadaczy kredytu udzielonego np. w euro czy franku szwajcarskim. W przypadku nagłego wzrostu kursu wymiany waluty proporcjonalnie wzrastają także regulowane w trybie miesięcznym raty kredytu, co znaczy, że w przeciwieństwie do rat kredytu złotowego ich wartość nie jest stała i nie może zostać ustalona z wyprzedzeniem. </w:t>
      </w:r>
    </w:p>
    <w:p w14:paraId="43BEFD57" w14:textId="77777777" w:rsidR="00865130" w:rsidRDefault="00865130" w:rsidP="00865130">
      <w:pPr>
        <w:pStyle w:val="Nagwek3"/>
        <w:spacing w:line="308" w:lineRule="atLeast"/>
        <w:jc w:val="both"/>
        <w:rPr>
          <w:rFonts w:asciiTheme="majorHAnsi" w:hAnsiTheme="majorHAnsi" w:cstheme="majorHAnsi"/>
          <w:b w:val="0"/>
          <w:bCs w:val="0"/>
          <w:sz w:val="24"/>
          <w:szCs w:val="24"/>
        </w:rPr>
      </w:pPr>
    </w:p>
    <w:p w14:paraId="1109C22F" w14:textId="77777777" w:rsidR="00865130" w:rsidRPr="00E3754C" w:rsidRDefault="00865130" w:rsidP="00865130">
      <w:pPr>
        <w:pStyle w:val="Nagwek3"/>
        <w:spacing w:line="308" w:lineRule="atLeast"/>
        <w:jc w:val="both"/>
        <w:rPr>
          <w:rFonts w:asciiTheme="majorHAnsi" w:hAnsiTheme="majorHAnsi" w:cstheme="majorHAnsi"/>
          <w:b w:val="0"/>
          <w:bCs w:val="0"/>
          <w:sz w:val="24"/>
          <w:szCs w:val="24"/>
        </w:rPr>
      </w:pPr>
    </w:p>
    <w:p w14:paraId="3E6B34CE" w14:textId="77777777" w:rsidR="00865130" w:rsidRPr="00E3754C" w:rsidRDefault="00865130" w:rsidP="00865130">
      <w:pPr>
        <w:pStyle w:val="Nagwek3"/>
        <w:spacing w:line="308" w:lineRule="atLeast"/>
        <w:jc w:val="both"/>
        <w:rPr>
          <w:rFonts w:asciiTheme="majorHAnsi" w:hAnsiTheme="majorHAnsi" w:cstheme="majorHAnsi"/>
          <w:sz w:val="24"/>
          <w:szCs w:val="24"/>
        </w:rPr>
      </w:pPr>
      <w:r w:rsidRPr="00E3754C">
        <w:rPr>
          <w:rFonts w:asciiTheme="majorHAnsi" w:hAnsiTheme="majorHAnsi" w:cstheme="majorHAnsi"/>
          <w:sz w:val="24"/>
          <w:szCs w:val="24"/>
        </w:rPr>
        <w:lastRenderedPageBreak/>
        <w:t>Towarzystwo Funduszy Inwestycyjnych</w:t>
      </w:r>
    </w:p>
    <w:p w14:paraId="31D5915D" w14:textId="77777777" w:rsidR="00865130" w:rsidRPr="00E3754C" w:rsidRDefault="00865130" w:rsidP="00865130">
      <w:pPr>
        <w:pStyle w:val="Nagwek3"/>
        <w:spacing w:line="308" w:lineRule="atLeast"/>
        <w:ind w:left="708"/>
        <w:jc w:val="both"/>
        <w:rPr>
          <w:rFonts w:asciiTheme="majorHAnsi" w:hAnsiTheme="majorHAnsi" w:cstheme="majorHAnsi"/>
          <w:b w:val="0"/>
          <w:bCs w:val="0"/>
          <w:sz w:val="24"/>
          <w:szCs w:val="24"/>
        </w:rPr>
      </w:pPr>
      <w:r w:rsidRPr="00E3754C">
        <w:rPr>
          <w:rFonts w:asciiTheme="majorHAnsi" w:hAnsiTheme="majorHAnsi" w:cstheme="majorHAnsi"/>
          <w:b w:val="0"/>
          <w:bCs w:val="0"/>
          <w:sz w:val="24"/>
          <w:szCs w:val="24"/>
        </w:rPr>
        <w:t>Zajmuje się tworzeniem, zarządzaniem i reprezentowaniem funduszy inwestycyjnych lub funduszy zagranicznych, w tym pośrednictwem w zbywaniu i odkupywaniu jednostek uczestnictwa. Towarzystwo zatrudnia wykwalifikowane osoby, które podejmują decyzje dotyczące lokat inwestycyjnych funduszy. W określonych przypadka może zlecić zarządzanie portfelem funduszu zewnętrznej firmie. Towarzystwem może być wyłącznie spółka akcyjna z siedzibą na terytorium Rzeczypospolitej Polskiej, która uzyskała zezwolenie Komisji Nadzoru Finansowego na wykonywanie takiej działalności.</w:t>
      </w:r>
    </w:p>
    <w:p w14:paraId="69365E0C" w14:textId="77777777" w:rsidR="00865130" w:rsidRPr="00E3754C" w:rsidRDefault="00865130" w:rsidP="00865130">
      <w:pPr>
        <w:pStyle w:val="Nagwek3"/>
        <w:spacing w:line="308" w:lineRule="atLeast"/>
        <w:jc w:val="both"/>
        <w:rPr>
          <w:rFonts w:asciiTheme="majorHAnsi" w:hAnsiTheme="majorHAnsi" w:cstheme="majorHAnsi"/>
          <w:sz w:val="24"/>
          <w:szCs w:val="24"/>
        </w:rPr>
      </w:pPr>
      <w:r w:rsidRPr="00E3754C">
        <w:rPr>
          <w:rFonts w:asciiTheme="majorHAnsi" w:hAnsiTheme="majorHAnsi" w:cstheme="majorHAnsi"/>
          <w:sz w:val="24"/>
          <w:szCs w:val="24"/>
        </w:rPr>
        <w:t>Uczestnik Funduszu</w:t>
      </w:r>
    </w:p>
    <w:p w14:paraId="65C2D437" w14:textId="77777777" w:rsidR="00865130" w:rsidRPr="00E3754C" w:rsidRDefault="00865130" w:rsidP="00865130">
      <w:pPr>
        <w:pStyle w:val="Nagwek3"/>
        <w:spacing w:line="308" w:lineRule="atLeast"/>
        <w:ind w:left="708"/>
        <w:jc w:val="both"/>
        <w:rPr>
          <w:rFonts w:asciiTheme="majorHAnsi" w:hAnsiTheme="majorHAnsi" w:cstheme="majorHAnsi"/>
          <w:b w:val="0"/>
          <w:bCs w:val="0"/>
          <w:sz w:val="24"/>
          <w:szCs w:val="24"/>
        </w:rPr>
      </w:pPr>
      <w:r w:rsidRPr="00E3754C">
        <w:rPr>
          <w:rFonts w:asciiTheme="majorHAnsi" w:hAnsiTheme="majorHAnsi" w:cstheme="majorHAnsi"/>
          <w:b w:val="0"/>
          <w:bCs w:val="0"/>
          <w:sz w:val="24"/>
          <w:szCs w:val="24"/>
        </w:rPr>
        <w:t>Osoba, która za wpłatę wniesioną do funduszu nabyła jednostki uczestnictwa lub certyfikaty inwestycyjne. Może to być osoba fizyczna, osoba prawna lub jednostka organizacyjna nieposiadająca osobowości prawnej, na której rzecz w rejestrze lub ewidencji uczestników są zapisane jednostki uczestnictwa lub certyfikaty inwestycyjne.</w:t>
      </w:r>
    </w:p>
    <w:p w14:paraId="7E54245C" w14:textId="77777777" w:rsidR="00865130" w:rsidRPr="00E3754C" w:rsidRDefault="00865130" w:rsidP="00865130">
      <w:pPr>
        <w:pStyle w:val="Nagwek3"/>
        <w:spacing w:line="308" w:lineRule="atLeast"/>
        <w:jc w:val="both"/>
        <w:rPr>
          <w:rFonts w:asciiTheme="majorHAnsi" w:hAnsiTheme="majorHAnsi" w:cstheme="majorHAnsi"/>
          <w:sz w:val="24"/>
          <w:szCs w:val="24"/>
        </w:rPr>
      </w:pPr>
      <w:r w:rsidRPr="00E3754C">
        <w:rPr>
          <w:rFonts w:asciiTheme="majorHAnsi" w:hAnsiTheme="majorHAnsi" w:cstheme="majorHAnsi"/>
          <w:sz w:val="24"/>
          <w:szCs w:val="24"/>
        </w:rPr>
        <w:t>Warunki Emisji</w:t>
      </w:r>
    </w:p>
    <w:p w14:paraId="7D03CA37" w14:textId="77777777" w:rsidR="00865130" w:rsidRPr="00E3754C" w:rsidRDefault="00865130" w:rsidP="00865130">
      <w:pPr>
        <w:pStyle w:val="Nagwek3"/>
        <w:spacing w:line="308" w:lineRule="atLeast"/>
        <w:ind w:left="708"/>
        <w:jc w:val="both"/>
        <w:rPr>
          <w:rFonts w:asciiTheme="majorHAnsi" w:hAnsiTheme="majorHAnsi" w:cstheme="majorHAnsi"/>
          <w:b w:val="0"/>
          <w:bCs w:val="0"/>
          <w:sz w:val="24"/>
          <w:szCs w:val="24"/>
        </w:rPr>
      </w:pPr>
      <w:r w:rsidRPr="00E3754C">
        <w:rPr>
          <w:rFonts w:asciiTheme="majorHAnsi" w:hAnsiTheme="majorHAnsi" w:cstheme="majorHAnsi"/>
          <w:b w:val="0"/>
          <w:bCs w:val="0"/>
          <w:sz w:val="24"/>
          <w:szCs w:val="24"/>
        </w:rPr>
        <w:t>Dokument prawny sporządzany do celów prywatnej (niepublicznej) emisji certyfikatów inwestycyjnych funduszu inwestycyjnego zamkniętego.</w:t>
      </w:r>
    </w:p>
    <w:p w14:paraId="1571964C" w14:textId="77777777" w:rsidR="00865130" w:rsidRPr="00E3754C" w:rsidRDefault="00865130" w:rsidP="00865130">
      <w:pPr>
        <w:pStyle w:val="Nagwek3"/>
        <w:spacing w:line="308" w:lineRule="atLeast"/>
        <w:jc w:val="both"/>
        <w:rPr>
          <w:rFonts w:asciiTheme="majorHAnsi" w:hAnsiTheme="majorHAnsi" w:cstheme="majorHAnsi"/>
          <w:b w:val="0"/>
          <w:bCs w:val="0"/>
          <w:sz w:val="24"/>
          <w:szCs w:val="24"/>
        </w:rPr>
      </w:pPr>
    </w:p>
    <w:p w14:paraId="419F8DE4" w14:textId="77777777" w:rsidR="00865130" w:rsidRPr="00E3754C" w:rsidRDefault="00865130" w:rsidP="00865130">
      <w:pPr>
        <w:pStyle w:val="Nagwek3"/>
        <w:spacing w:line="308" w:lineRule="atLeast"/>
        <w:jc w:val="both"/>
        <w:rPr>
          <w:rFonts w:asciiTheme="majorHAnsi" w:hAnsiTheme="majorHAnsi" w:cstheme="majorHAnsi"/>
          <w:sz w:val="24"/>
          <w:szCs w:val="24"/>
        </w:rPr>
      </w:pPr>
      <w:proofErr w:type="spellStart"/>
      <w:r w:rsidRPr="00E3754C">
        <w:rPr>
          <w:rFonts w:asciiTheme="majorHAnsi" w:hAnsiTheme="majorHAnsi" w:cstheme="majorHAnsi"/>
          <w:sz w:val="24"/>
          <w:szCs w:val="24"/>
        </w:rPr>
        <w:t>Wealth</w:t>
      </w:r>
      <w:proofErr w:type="spellEnd"/>
      <w:r w:rsidRPr="00E3754C">
        <w:rPr>
          <w:rFonts w:asciiTheme="majorHAnsi" w:hAnsiTheme="majorHAnsi" w:cstheme="majorHAnsi"/>
          <w:sz w:val="24"/>
          <w:szCs w:val="24"/>
        </w:rPr>
        <w:t xml:space="preserve"> management</w:t>
      </w:r>
    </w:p>
    <w:p w14:paraId="21134B15" w14:textId="77777777" w:rsidR="00865130" w:rsidRPr="00E3754C" w:rsidRDefault="00865130" w:rsidP="00865130">
      <w:pPr>
        <w:pStyle w:val="NormalnyWeb"/>
        <w:spacing w:before="0" w:beforeAutospacing="0" w:after="240" w:afterAutospacing="0" w:line="343" w:lineRule="atLeast"/>
        <w:ind w:left="708"/>
        <w:jc w:val="both"/>
        <w:rPr>
          <w:rFonts w:asciiTheme="majorHAnsi" w:hAnsiTheme="majorHAnsi" w:cstheme="majorHAnsi"/>
        </w:rPr>
      </w:pPr>
      <w:r>
        <w:rPr>
          <w:rFonts w:asciiTheme="majorHAnsi" w:hAnsiTheme="majorHAnsi" w:cstheme="majorHAnsi"/>
        </w:rPr>
        <w:t>T</w:t>
      </w:r>
      <w:r w:rsidRPr="00E3754C">
        <w:rPr>
          <w:rFonts w:asciiTheme="majorHAnsi" w:hAnsiTheme="majorHAnsi" w:cstheme="majorHAnsi"/>
        </w:rPr>
        <w:t>o usługa zarządzania majątkiem - kompleksowa obsługa klienta, która obejmuje nie tylko płynne aktywa majątku, lecz także aktywa trwałe (a więc zarządzanie całym majątkiem, wraz z majątkiem pozafinansowym). To zaspokajanie praktycznie wszystkich potrzeb klientów – usługa jest bowiem niezwykle szeroka i znacznie wykracza poza standardowe usługi bankowe, dlatego też dedykowana jest tylko najzamożniejszym klientom banków.</w:t>
      </w:r>
    </w:p>
    <w:p w14:paraId="7C3423A4" w14:textId="77777777" w:rsidR="00865130" w:rsidRPr="00E3754C" w:rsidRDefault="00865130" w:rsidP="00865130">
      <w:pPr>
        <w:pStyle w:val="NormalnyWeb"/>
        <w:spacing w:before="0" w:beforeAutospacing="0" w:after="240" w:afterAutospacing="0" w:line="343" w:lineRule="atLeast"/>
        <w:jc w:val="both"/>
        <w:rPr>
          <w:rFonts w:asciiTheme="majorHAnsi" w:hAnsiTheme="majorHAnsi" w:cstheme="majorHAnsi"/>
          <w:b/>
          <w:bCs/>
        </w:rPr>
      </w:pPr>
      <w:r w:rsidRPr="00E3754C">
        <w:rPr>
          <w:rFonts w:asciiTheme="majorHAnsi" w:hAnsiTheme="majorHAnsi" w:cstheme="majorHAnsi"/>
          <w:b/>
          <w:bCs/>
        </w:rPr>
        <w:t>WIBOR</w:t>
      </w:r>
    </w:p>
    <w:p w14:paraId="77484190" w14:textId="77777777" w:rsidR="00865130" w:rsidRPr="00E3754C" w:rsidRDefault="00865130" w:rsidP="00865130">
      <w:pPr>
        <w:pStyle w:val="NormalnyWeb"/>
        <w:spacing w:before="0" w:beforeAutospacing="0" w:after="240" w:afterAutospacing="0" w:line="343" w:lineRule="atLeast"/>
        <w:ind w:left="708"/>
        <w:jc w:val="both"/>
        <w:rPr>
          <w:rFonts w:asciiTheme="majorHAnsi" w:hAnsiTheme="majorHAnsi" w:cstheme="majorHAnsi"/>
        </w:rPr>
      </w:pPr>
      <w:r w:rsidRPr="00E3754C">
        <w:rPr>
          <w:rFonts w:asciiTheme="majorHAnsi" w:hAnsiTheme="majorHAnsi" w:cstheme="majorHAnsi"/>
          <w:color w:val="3C3C3C"/>
          <w:shd w:val="clear" w:color="auto" w:fill="FFFFFF"/>
        </w:rPr>
        <w:t>Uśredniona stopa procentowa obowiązująca banki, które pożyczają sobie pieniądze na rynku międzynarodowym (</w:t>
      </w:r>
      <w:proofErr w:type="spellStart"/>
      <w:r w:rsidRPr="00E3754C">
        <w:rPr>
          <w:rFonts w:asciiTheme="majorHAnsi" w:hAnsiTheme="majorHAnsi" w:cstheme="majorHAnsi"/>
          <w:color w:val="3C3C3C"/>
          <w:shd w:val="clear" w:color="auto" w:fill="FFFFFF"/>
        </w:rPr>
        <w:t>Warsaw</w:t>
      </w:r>
      <w:proofErr w:type="spellEnd"/>
      <w:r w:rsidRPr="00E3754C">
        <w:rPr>
          <w:rFonts w:asciiTheme="majorHAnsi" w:hAnsiTheme="majorHAnsi" w:cstheme="majorHAnsi"/>
          <w:color w:val="3C3C3C"/>
          <w:shd w:val="clear" w:color="auto" w:fill="FFFFFF"/>
        </w:rPr>
        <w:t xml:space="preserve"> Interbank </w:t>
      </w:r>
      <w:proofErr w:type="spellStart"/>
      <w:r w:rsidRPr="00E3754C">
        <w:rPr>
          <w:rFonts w:asciiTheme="majorHAnsi" w:hAnsiTheme="majorHAnsi" w:cstheme="majorHAnsi"/>
          <w:color w:val="3C3C3C"/>
          <w:shd w:val="clear" w:color="auto" w:fill="FFFFFF"/>
        </w:rPr>
        <w:t>Offer</w:t>
      </w:r>
      <w:proofErr w:type="spellEnd"/>
      <w:r w:rsidRPr="00E3754C">
        <w:rPr>
          <w:rFonts w:asciiTheme="majorHAnsi" w:hAnsiTheme="majorHAnsi" w:cstheme="majorHAnsi"/>
          <w:color w:val="3C3C3C"/>
          <w:shd w:val="clear" w:color="auto" w:fill="FFFFFF"/>
        </w:rPr>
        <w:t xml:space="preserve"> </w:t>
      </w:r>
      <w:proofErr w:type="spellStart"/>
      <w:r w:rsidRPr="00E3754C">
        <w:rPr>
          <w:rFonts w:asciiTheme="majorHAnsi" w:hAnsiTheme="majorHAnsi" w:cstheme="majorHAnsi"/>
          <w:color w:val="3C3C3C"/>
          <w:shd w:val="clear" w:color="auto" w:fill="FFFFFF"/>
        </w:rPr>
        <w:t>Rate</w:t>
      </w:r>
      <w:proofErr w:type="spellEnd"/>
      <w:r w:rsidRPr="00E3754C">
        <w:rPr>
          <w:rFonts w:asciiTheme="majorHAnsi" w:hAnsiTheme="majorHAnsi" w:cstheme="majorHAnsi"/>
          <w:color w:val="3C3C3C"/>
          <w:shd w:val="clear" w:color="auto" w:fill="FFFFFF"/>
        </w:rPr>
        <w:t>).</w:t>
      </w:r>
    </w:p>
    <w:p w14:paraId="2A081C3D" w14:textId="77777777" w:rsidR="00865130" w:rsidRPr="00E3754C" w:rsidRDefault="00865130" w:rsidP="00865130">
      <w:pPr>
        <w:spacing w:after="240" w:line="343" w:lineRule="atLeast"/>
        <w:jc w:val="both"/>
        <w:rPr>
          <w:rFonts w:asciiTheme="majorHAnsi" w:eastAsia="Times New Roman" w:hAnsiTheme="majorHAnsi" w:cstheme="majorHAnsi"/>
          <w:b/>
          <w:bCs/>
          <w:sz w:val="24"/>
          <w:szCs w:val="24"/>
          <w:lang w:eastAsia="pl-PL"/>
        </w:rPr>
      </w:pPr>
      <w:r w:rsidRPr="00E3754C">
        <w:rPr>
          <w:rFonts w:asciiTheme="majorHAnsi" w:eastAsia="Times New Roman" w:hAnsiTheme="majorHAnsi" w:cstheme="majorHAnsi"/>
          <w:b/>
          <w:bCs/>
          <w:sz w:val="24"/>
          <w:szCs w:val="24"/>
          <w:lang w:eastAsia="pl-PL"/>
        </w:rPr>
        <w:t>Wypłata transferowa IKE, PPK</w:t>
      </w:r>
    </w:p>
    <w:p w14:paraId="4202F41E" w14:textId="655706D1" w:rsidR="00793E4D" w:rsidRPr="00865130" w:rsidRDefault="00865130" w:rsidP="00865130">
      <w:pPr>
        <w:spacing w:after="240" w:line="343" w:lineRule="atLeast"/>
        <w:ind w:left="708"/>
        <w:jc w:val="both"/>
        <w:rPr>
          <w:rFonts w:asciiTheme="majorHAnsi" w:eastAsia="Times New Roman" w:hAnsiTheme="majorHAnsi" w:cstheme="majorHAnsi"/>
          <w:sz w:val="24"/>
          <w:szCs w:val="24"/>
          <w:lang w:eastAsia="pl-PL"/>
        </w:rPr>
      </w:pPr>
      <w:r w:rsidRPr="00E3754C">
        <w:rPr>
          <w:rFonts w:asciiTheme="majorHAnsi" w:eastAsia="Times New Roman" w:hAnsiTheme="majorHAnsi" w:cstheme="majorHAnsi"/>
          <w:sz w:val="24"/>
          <w:szCs w:val="24"/>
          <w:lang w:eastAsia="pl-PL"/>
        </w:rPr>
        <w:t>Szczególnym rodzajem wypłaty z Indywidualnego Konta Emerytalnego (IKE) lub Pracowniczego Programu Emerytalnego (PPE) jest wypłata transferowa. Dokonana zostaje po uprzednim zawarciu umowy o prowadzenie IKE lub PPE z inną instytucją finansową. W przypadku takiej wypłaty nie obowiązują roczne limity wpłat.</w:t>
      </w:r>
    </w:p>
    <w:sectPr w:rsidR="00793E4D" w:rsidRPr="008651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52D7C"/>
    <w:multiLevelType w:val="hybridMultilevel"/>
    <w:tmpl w:val="701087C8"/>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16cid:durableId="305353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30"/>
    <w:rsid w:val="000910E5"/>
    <w:rsid w:val="004B35A2"/>
    <w:rsid w:val="00793E4D"/>
    <w:rsid w:val="008651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CA918"/>
  <w15:chartTrackingRefBased/>
  <w15:docId w15:val="{9BD12E97-C1E9-4827-820C-63742CD2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5130"/>
  </w:style>
  <w:style w:type="paragraph" w:styleId="Nagwek2">
    <w:name w:val="heading 2"/>
    <w:basedOn w:val="Normalny"/>
    <w:next w:val="Normalny"/>
    <w:link w:val="Nagwek2Znak"/>
    <w:uiPriority w:val="9"/>
    <w:semiHidden/>
    <w:unhideWhenUsed/>
    <w:qFormat/>
    <w:rsid w:val="008651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qFormat/>
    <w:rsid w:val="0086513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865130"/>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865130"/>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86513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asnafinanse.pl/produkty-finansowe/slownik-pojec/r/ryzyko-kursowe" TargetMode="External"/><Relationship Id="rId3" Type="http://schemas.openxmlformats.org/officeDocument/2006/relationships/settings" Target="settings.xml"/><Relationship Id="rId7" Type="http://schemas.openxmlformats.org/officeDocument/2006/relationships/hyperlink" Target="https://www.czasnafinanse.pl/produkty-finansowe/slownik-pojec/o/opcja-walutow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zasnafinanse.pl/produkty-finansowe/slownik-pojec/d/dyskontowanie" TargetMode="External"/><Relationship Id="rId5" Type="http://schemas.openxmlformats.org/officeDocument/2006/relationships/hyperlink" Target="https://www.czasnafinanse.pl/produkty-finansowe/slownik-pojec/b/beneficje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2332</Words>
  <Characters>13992</Characters>
  <Application>Microsoft Office Word</Application>
  <DocSecurity>0</DocSecurity>
  <Lines>116</Lines>
  <Paragraphs>32</Paragraphs>
  <ScaleCrop>false</ScaleCrop>
  <Company/>
  <LinksUpToDate>false</LinksUpToDate>
  <CharactersWithSpaces>16292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Michałowska</dc:creator>
  <cp:keywords/>
  <dc:description/>
  <cp:lastModifiedBy>Sylwia Michałowska</cp:lastModifiedBy>
  <cp:revision>1</cp:revision>
  <dcterms:created xsi:type="dcterms:W3CDTF">2022-09-29T11:34:00Z</dcterms:created>
  <dcterms:modified xsi:type="dcterms:W3CDTF">2022-09-29T11:35:00Z</dcterms:modified>
</cp:coreProperties>
</file>